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55" w:rsidRDefault="009B5E55" w:rsidP="00D10741">
      <w:pPr>
        <w:jc w:val="center"/>
        <w:rPr>
          <w:sz w:val="28"/>
        </w:rPr>
      </w:pPr>
      <w:r w:rsidRPr="009B5E55">
        <w:rPr>
          <w:sz w:val="28"/>
        </w:rPr>
        <w:t>Saint Louis University Institutional Review Board</w:t>
      </w:r>
    </w:p>
    <w:p w:rsidR="00160ACD" w:rsidRDefault="00160ACD" w:rsidP="00160ACD">
      <w:pPr>
        <w:pStyle w:val="BodyText"/>
        <w:tabs>
          <w:tab w:val="left" w:pos="0"/>
        </w:tabs>
        <w:jc w:val="center"/>
        <w:rPr>
          <w:rFonts w:ascii="Times New Roman" w:hAnsi="Times New Roman"/>
          <w:sz w:val="26"/>
          <w:szCs w:val="26"/>
        </w:rPr>
      </w:pPr>
      <w:r w:rsidRPr="0006119C">
        <w:rPr>
          <w:rFonts w:ascii="Times New Roman" w:hAnsi="Times New Roman"/>
          <w:sz w:val="26"/>
          <w:szCs w:val="26"/>
        </w:rPr>
        <w:t xml:space="preserve">Additional Criteria for </w:t>
      </w:r>
      <w:r w:rsidR="00974EB1">
        <w:rPr>
          <w:rFonts w:ascii="Times New Roman" w:hAnsi="Times New Roman"/>
          <w:sz w:val="26"/>
          <w:szCs w:val="26"/>
        </w:rPr>
        <w:t>Investigational Drugs</w:t>
      </w:r>
    </w:p>
    <w:p w:rsidR="0077771A" w:rsidRPr="0077771A" w:rsidRDefault="0077771A" w:rsidP="0077771A">
      <w:pPr>
        <w:rPr>
          <w:sz w:val="14"/>
        </w:rPr>
      </w:pPr>
    </w:p>
    <w:p w:rsidR="00917C8B" w:rsidRPr="002E64D8" w:rsidRDefault="00917C8B" w:rsidP="00917C8B">
      <w:pPr>
        <w:pStyle w:val="BodyText"/>
        <w:tabs>
          <w:tab w:val="left" w:pos="360"/>
        </w:tabs>
        <w:ind w:left="1440" w:right="1440"/>
        <w:jc w:val="center"/>
        <w:rPr>
          <w:rFonts w:ascii="Times New Roman" w:hAnsi="Times New Roman"/>
          <w:i/>
          <w:sz w:val="22"/>
          <w:szCs w:val="22"/>
        </w:rPr>
      </w:pPr>
      <w:r w:rsidRPr="002E64D8">
        <w:rPr>
          <w:rFonts w:ascii="Times New Roman" w:hAnsi="Times New Roman"/>
          <w:i/>
          <w:sz w:val="22"/>
          <w:szCs w:val="22"/>
        </w:rPr>
        <w:t>Check if “Yes” or “N/A.”</w:t>
      </w:r>
    </w:p>
    <w:p w:rsidR="00917C8B" w:rsidRPr="002E64D8" w:rsidRDefault="00917C8B" w:rsidP="00917C8B">
      <w:pPr>
        <w:pStyle w:val="Header"/>
        <w:ind w:left="1440" w:right="1440"/>
        <w:jc w:val="center"/>
        <w:rPr>
          <w:i/>
          <w:sz w:val="22"/>
          <w:szCs w:val="22"/>
        </w:rPr>
      </w:pPr>
      <w:r w:rsidRPr="002E64D8">
        <w:rPr>
          <w:i/>
          <w:sz w:val="22"/>
          <w:szCs w:val="22"/>
        </w:rPr>
        <w:t>This worksheet is intended to provide support for individuals in determining how</w:t>
      </w:r>
      <w:r>
        <w:rPr>
          <w:i/>
          <w:sz w:val="22"/>
          <w:szCs w:val="22"/>
        </w:rPr>
        <w:t xml:space="preserve"> research activity should be regulated. </w:t>
      </w:r>
      <w:r w:rsidRPr="002E64D8">
        <w:rPr>
          <w:i/>
          <w:sz w:val="22"/>
          <w:szCs w:val="22"/>
        </w:rPr>
        <w:t xml:space="preserve">This worksheet is not meant to be </w:t>
      </w:r>
      <w:r>
        <w:rPr>
          <w:i/>
          <w:sz w:val="22"/>
          <w:szCs w:val="22"/>
        </w:rPr>
        <w:t>retained</w:t>
      </w:r>
      <w:r w:rsidRPr="002E64D8">
        <w:rPr>
          <w:i/>
          <w:sz w:val="22"/>
          <w:szCs w:val="22"/>
        </w:rPr>
        <w:t xml:space="preserve">. </w:t>
      </w:r>
    </w:p>
    <w:p w:rsidR="00160ACD" w:rsidRPr="00D10741" w:rsidRDefault="00160ACD" w:rsidP="00160ACD">
      <w:pPr>
        <w:rPr>
          <w:b/>
          <w:sz w:val="12"/>
          <w:szCs w:val="26"/>
        </w:rPr>
      </w:pPr>
    </w:p>
    <w:tbl>
      <w:tblPr>
        <w:tblStyle w:val="TableGrid"/>
        <w:tblW w:w="1100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506"/>
        <w:gridCol w:w="532"/>
        <w:gridCol w:w="9967"/>
      </w:tblGrid>
      <w:tr w:rsidR="00BA5EB8" w:rsidRPr="00D10741" w:rsidTr="00D10741">
        <w:trPr>
          <w:trHeight w:val="216"/>
        </w:trPr>
        <w:tc>
          <w:tcPr>
            <w:tcW w:w="11005" w:type="dxa"/>
            <w:gridSpan w:val="3"/>
            <w:tcBorders>
              <w:top w:val="single" w:sz="4" w:space="0" w:color="auto"/>
              <w:bottom w:val="single" w:sz="4" w:space="0" w:color="auto"/>
              <w:right w:val="nil"/>
            </w:tcBorders>
            <w:tcMar>
              <w:top w:w="29" w:type="dxa"/>
              <w:left w:w="115" w:type="dxa"/>
              <w:bottom w:w="29" w:type="dxa"/>
              <w:right w:w="115" w:type="dxa"/>
            </w:tcMar>
          </w:tcPr>
          <w:p w:rsidR="00BA5EB8" w:rsidRPr="00D10741" w:rsidRDefault="00522280" w:rsidP="00160ACD">
            <w:pPr>
              <w:rPr>
                <w:b/>
                <w:sz w:val="22"/>
                <w:szCs w:val="22"/>
              </w:rPr>
            </w:pPr>
            <w:r>
              <w:rPr>
                <w:b/>
                <w:sz w:val="22"/>
                <w:szCs w:val="22"/>
              </w:rPr>
              <w:t xml:space="preserve">1 - </w:t>
            </w:r>
            <w:r w:rsidR="00BA5EB8" w:rsidRPr="00D10741">
              <w:rPr>
                <w:b/>
                <w:sz w:val="22"/>
                <w:szCs w:val="22"/>
              </w:rPr>
              <w:t>Drug Applicability</w:t>
            </w:r>
          </w:p>
        </w:tc>
      </w:tr>
      <w:tr w:rsidR="00D76A8E" w:rsidRPr="00D10741" w:rsidTr="00D10741">
        <w:trPr>
          <w:trHeight w:val="216"/>
        </w:trPr>
        <w:tc>
          <w:tcPr>
            <w:tcW w:w="506" w:type="dxa"/>
            <w:tcBorders>
              <w:top w:val="single" w:sz="4" w:space="0" w:color="auto"/>
            </w:tcBorders>
            <w:tcMar>
              <w:top w:w="29" w:type="dxa"/>
              <w:left w:w="115" w:type="dxa"/>
              <w:bottom w:w="29" w:type="dxa"/>
              <w:right w:w="115" w:type="dxa"/>
            </w:tcMar>
          </w:tcPr>
          <w:p w:rsidR="00D76A8E"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Borders>
              <w:top w:val="single" w:sz="4" w:space="0" w:color="auto"/>
            </w:tcBorders>
            <w:tcMar>
              <w:top w:w="29" w:type="dxa"/>
              <w:left w:w="115" w:type="dxa"/>
              <w:bottom w:w="29" w:type="dxa"/>
              <w:right w:w="115" w:type="dxa"/>
            </w:tcMar>
          </w:tcPr>
          <w:p w:rsidR="00BA5EB8" w:rsidRPr="00D10741" w:rsidRDefault="00AC015F" w:rsidP="00160ACD">
            <w:pPr>
              <w:rPr>
                <w:sz w:val="22"/>
                <w:szCs w:val="22"/>
              </w:rPr>
            </w:pPr>
            <w:r>
              <w:rPr>
                <w:sz w:val="22"/>
                <w:szCs w:val="22"/>
              </w:rPr>
              <w:t>T</w:t>
            </w:r>
            <w:r w:rsidR="00BA5EB8" w:rsidRPr="00D10741">
              <w:rPr>
                <w:sz w:val="22"/>
                <w:szCs w:val="22"/>
              </w:rPr>
              <w:t>he research activity involve</w:t>
            </w:r>
            <w:r>
              <w:rPr>
                <w:sz w:val="22"/>
                <w:szCs w:val="22"/>
              </w:rPr>
              <w:t xml:space="preserve">s the following: </w:t>
            </w:r>
            <w:r w:rsidR="00BA5EB8" w:rsidRPr="00D10741">
              <w:rPr>
                <w:sz w:val="22"/>
                <w:szCs w:val="22"/>
              </w:rPr>
              <w:t xml:space="preserve">(Check all that apply) </w:t>
            </w:r>
          </w:p>
          <w:p w:rsidR="000504EF" w:rsidRPr="00D10741" w:rsidRDefault="00BA5EB8" w:rsidP="00D10741">
            <w:pPr>
              <w:tabs>
                <w:tab w:val="left" w:pos="394"/>
              </w:tabs>
              <w:ind w:left="394"/>
              <w:rPr>
                <w:i/>
                <w:sz w:val="22"/>
                <w:szCs w:val="22"/>
              </w:rPr>
            </w:pPr>
            <w:r w:rsidRPr="00D10741">
              <w:rPr>
                <w:i/>
                <w:sz w:val="22"/>
                <w:szCs w:val="22"/>
              </w:rPr>
              <w:t xml:space="preserve">Note: </w:t>
            </w:r>
            <w:r w:rsidR="00653FE0">
              <w:rPr>
                <w:i/>
                <w:sz w:val="22"/>
                <w:szCs w:val="22"/>
              </w:rPr>
              <w:t xml:space="preserve">If “Yes” for either or both, then complete the remainder of the form. </w:t>
            </w:r>
            <w:r w:rsidRPr="00D10741">
              <w:rPr>
                <w:i/>
                <w:sz w:val="22"/>
                <w:szCs w:val="22"/>
              </w:rPr>
              <w:t>If “No” for both, then FDA regulations do not apply.</w:t>
            </w:r>
          </w:p>
          <w:p w:rsidR="00BA5EB8" w:rsidRPr="00D10741" w:rsidRDefault="00BA5EB8" w:rsidP="00BA5EB8">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sidR="00D10741" w:rsidRPr="00D10741">
              <w:rPr>
                <w:sz w:val="22"/>
                <w:szCs w:val="22"/>
              </w:rPr>
              <w:t xml:space="preserve"> </w:t>
            </w:r>
            <w:r w:rsidR="00522280">
              <w:rPr>
                <w:sz w:val="22"/>
                <w:szCs w:val="22"/>
              </w:rPr>
              <w:t>Data regarding subjects or controls submitted to or held for review by the FDA.</w:t>
            </w:r>
            <w:r w:rsidR="00430205">
              <w:rPr>
                <w:rStyle w:val="EndnoteReference"/>
                <w:sz w:val="22"/>
                <w:szCs w:val="22"/>
              </w:rPr>
              <w:t xml:space="preserve"> </w:t>
            </w:r>
            <w:r w:rsidR="00430205">
              <w:rPr>
                <w:rStyle w:val="EndnoteReference"/>
                <w:sz w:val="22"/>
                <w:szCs w:val="22"/>
              </w:rPr>
              <w:endnoteReference w:id="1"/>
            </w:r>
          </w:p>
          <w:p w:rsidR="00BA5EB8" w:rsidRPr="00D10741" w:rsidRDefault="00BA5EB8" w:rsidP="00004C7A">
            <w:pPr>
              <w:rPr>
                <w:i/>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sidR="00522280">
              <w:rPr>
                <w:sz w:val="22"/>
                <w:szCs w:val="22"/>
              </w:rPr>
              <w:t xml:space="preserve"> </w:t>
            </w:r>
            <w:r w:rsidR="00004C7A">
              <w:rPr>
                <w:sz w:val="22"/>
                <w:szCs w:val="22"/>
              </w:rPr>
              <w:t>Any</w:t>
            </w:r>
            <w:r w:rsidR="00522280">
              <w:rPr>
                <w:sz w:val="22"/>
                <w:szCs w:val="22"/>
              </w:rPr>
              <w:t xml:space="preserve"> use of a drug</w:t>
            </w:r>
            <w:r w:rsidR="00522280">
              <w:rPr>
                <w:rStyle w:val="EndnoteReference"/>
                <w:sz w:val="22"/>
                <w:szCs w:val="22"/>
              </w:rPr>
              <w:endnoteReference w:id="2"/>
            </w:r>
            <w:r w:rsidR="00522280">
              <w:rPr>
                <w:sz w:val="22"/>
                <w:szCs w:val="22"/>
              </w:rPr>
              <w:t xml:space="preserve"> other than a</w:t>
            </w:r>
            <w:r w:rsidR="00004C7A">
              <w:rPr>
                <w:sz w:val="22"/>
                <w:szCs w:val="22"/>
              </w:rPr>
              <w:t xml:space="preserve"> marketed</w:t>
            </w:r>
            <w:r w:rsidR="00522280">
              <w:rPr>
                <w:sz w:val="22"/>
                <w:szCs w:val="22"/>
              </w:rPr>
              <w:t xml:space="preserve"> drug </w:t>
            </w:r>
            <w:r w:rsidR="00004C7A">
              <w:rPr>
                <w:sz w:val="22"/>
                <w:szCs w:val="22"/>
              </w:rPr>
              <w:t xml:space="preserve">used </w:t>
            </w:r>
            <w:r w:rsidR="00522280">
              <w:rPr>
                <w:sz w:val="22"/>
                <w:szCs w:val="22"/>
              </w:rPr>
              <w:t>during the course of medical practice</w:t>
            </w:r>
            <w:r w:rsidR="00917C8B">
              <w:rPr>
                <w:sz w:val="22"/>
                <w:szCs w:val="22"/>
              </w:rPr>
              <w:t xml:space="preserve"> (including off-label clinical use)</w:t>
            </w:r>
            <w:r w:rsidR="00522280">
              <w:rPr>
                <w:sz w:val="22"/>
                <w:szCs w:val="22"/>
              </w:rPr>
              <w:t>.</w:t>
            </w:r>
            <w:r w:rsidR="00430205">
              <w:rPr>
                <w:rStyle w:val="EndnoteReference"/>
                <w:sz w:val="22"/>
                <w:szCs w:val="22"/>
              </w:rPr>
              <w:t xml:space="preserve"> </w:t>
            </w:r>
            <w:r w:rsidR="00430205">
              <w:rPr>
                <w:rStyle w:val="EndnoteReference"/>
                <w:sz w:val="22"/>
                <w:szCs w:val="22"/>
              </w:rPr>
              <w:endnoteReference w:id="3"/>
            </w:r>
          </w:p>
        </w:tc>
      </w:tr>
      <w:tr w:rsidR="00BA5EB8" w:rsidRPr="00D10741" w:rsidTr="00D10741">
        <w:trPr>
          <w:trHeight w:val="216"/>
        </w:trPr>
        <w:tc>
          <w:tcPr>
            <w:tcW w:w="11005" w:type="dxa"/>
            <w:gridSpan w:val="3"/>
            <w:tcMar>
              <w:top w:w="29" w:type="dxa"/>
              <w:left w:w="115" w:type="dxa"/>
              <w:bottom w:w="29" w:type="dxa"/>
              <w:right w:w="115" w:type="dxa"/>
            </w:tcMar>
          </w:tcPr>
          <w:p w:rsidR="00BA5EB8" w:rsidRPr="00D10741" w:rsidRDefault="00522280" w:rsidP="00653FE0">
            <w:pPr>
              <w:pStyle w:val="BodyText"/>
              <w:tabs>
                <w:tab w:val="left" w:pos="0"/>
              </w:tabs>
              <w:rPr>
                <w:rFonts w:ascii="Times New Roman" w:hAnsi="Times New Roman"/>
                <w:b/>
                <w:sz w:val="22"/>
                <w:szCs w:val="22"/>
              </w:rPr>
            </w:pPr>
            <w:r>
              <w:rPr>
                <w:rFonts w:ascii="Times New Roman" w:hAnsi="Times New Roman"/>
                <w:b/>
                <w:sz w:val="22"/>
                <w:szCs w:val="22"/>
              </w:rPr>
              <w:t xml:space="preserve">2 - </w:t>
            </w:r>
            <w:r w:rsidR="00BA5EB8" w:rsidRPr="00D10741">
              <w:rPr>
                <w:rFonts w:ascii="Times New Roman" w:hAnsi="Times New Roman"/>
                <w:b/>
                <w:sz w:val="22"/>
                <w:szCs w:val="22"/>
              </w:rPr>
              <w:t>IND Requirements</w:t>
            </w:r>
            <w:r w:rsidR="00653FE0">
              <w:rPr>
                <w:rFonts w:ascii="Times New Roman" w:hAnsi="Times New Roman"/>
                <w:b/>
                <w:sz w:val="22"/>
                <w:szCs w:val="22"/>
              </w:rPr>
              <w:t xml:space="preserve"> </w:t>
            </w:r>
            <w:r w:rsidR="00653FE0" w:rsidRPr="0015191C">
              <w:rPr>
                <w:rFonts w:ascii="Times New Roman" w:hAnsi="Times New Roman"/>
                <w:sz w:val="22"/>
                <w:szCs w:val="22"/>
              </w:rPr>
              <w:t xml:space="preserve">(MUST check </w:t>
            </w:r>
            <w:r w:rsidR="00653FE0">
              <w:rPr>
                <w:rFonts w:ascii="Times New Roman" w:hAnsi="Times New Roman"/>
                <w:sz w:val="22"/>
                <w:szCs w:val="22"/>
              </w:rPr>
              <w:t>at least one</w:t>
            </w:r>
            <w:r w:rsidR="00653FE0" w:rsidRPr="0015191C">
              <w:rPr>
                <w:rFonts w:ascii="Times New Roman" w:hAnsi="Times New Roman"/>
                <w:sz w:val="22"/>
                <w:szCs w:val="22"/>
              </w:rPr>
              <w:t>)</w:t>
            </w:r>
          </w:p>
        </w:tc>
      </w:tr>
      <w:tr w:rsidR="00013162" w:rsidRPr="00D10741" w:rsidTr="00D10741">
        <w:trPr>
          <w:trHeight w:val="216"/>
        </w:trPr>
        <w:tc>
          <w:tcPr>
            <w:tcW w:w="506" w:type="dxa"/>
            <w:tcMar>
              <w:top w:w="29" w:type="dxa"/>
              <w:left w:w="115" w:type="dxa"/>
              <w:bottom w:w="29" w:type="dxa"/>
              <w:right w:w="115" w:type="dxa"/>
            </w:tcMar>
          </w:tcPr>
          <w:p w:rsidR="00013162"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Mar>
              <w:top w:w="29" w:type="dxa"/>
              <w:left w:w="115" w:type="dxa"/>
              <w:bottom w:w="29" w:type="dxa"/>
              <w:right w:w="115" w:type="dxa"/>
            </w:tcMar>
          </w:tcPr>
          <w:p w:rsidR="00013162" w:rsidRPr="00D10741" w:rsidRDefault="00522280" w:rsidP="002E64D8">
            <w:pPr>
              <w:pStyle w:val="BodyText"/>
              <w:tabs>
                <w:tab w:val="left" w:pos="0"/>
              </w:tabs>
              <w:rPr>
                <w:rFonts w:ascii="Times New Roman" w:hAnsi="Times New Roman"/>
                <w:sz w:val="22"/>
                <w:szCs w:val="22"/>
              </w:rPr>
            </w:pPr>
            <w:r>
              <w:rPr>
                <w:rFonts w:ascii="Times New Roman" w:hAnsi="Times New Roman"/>
                <w:sz w:val="22"/>
                <w:szCs w:val="22"/>
              </w:rPr>
              <w:t>The drug has a</w:t>
            </w:r>
            <w:r w:rsidR="00917C8B">
              <w:rPr>
                <w:rFonts w:ascii="Times New Roman" w:hAnsi="Times New Roman"/>
                <w:sz w:val="22"/>
                <w:szCs w:val="22"/>
              </w:rPr>
              <w:t xml:space="preserve"> valid IND. (Complete Sections 3 and 4</w:t>
            </w:r>
            <w:r>
              <w:rPr>
                <w:rFonts w:ascii="Times New Roman" w:hAnsi="Times New Roman"/>
                <w:sz w:val="22"/>
                <w:szCs w:val="22"/>
              </w:rPr>
              <w:t>)</w:t>
            </w:r>
          </w:p>
        </w:tc>
      </w:tr>
      <w:tr w:rsidR="00481A92" w:rsidRPr="00D10741" w:rsidTr="00D10741">
        <w:trPr>
          <w:trHeight w:val="216"/>
        </w:trPr>
        <w:tc>
          <w:tcPr>
            <w:tcW w:w="506" w:type="dxa"/>
            <w:tcMar>
              <w:top w:w="29" w:type="dxa"/>
              <w:left w:w="115" w:type="dxa"/>
              <w:bottom w:w="29" w:type="dxa"/>
              <w:right w:w="115" w:type="dxa"/>
            </w:tcMar>
          </w:tcPr>
          <w:p w:rsidR="00481A92"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Mar>
              <w:top w:w="29" w:type="dxa"/>
              <w:left w:w="115" w:type="dxa"/>
              <w:bottom w:w="29" w:type="dxa"/>
              <w:right w:w="115" w:type="dxa"/>
            </w:tcMar>
          </w:tcPr>
          <w:p w:rsidR="00481A92" w:rsidRPr="00D10741" w:rsidRDefault="00522280" w:rsidP="002E64D8">
            <w:pPr>
              <w:pStyle w:val="BodyText"/>
              <w:tabs>
                <w:tab w:val="left" w:pos="360"/>
              </w:tabs>
              <w:rPr>
                <w:rFonts w:ascii="Times New Roman" w:hAnsi="Times New Roman"/>
                <w:sz w:val="22"/>
                <w:szCs w:val="22"/>
              </w:rPr>
            </w:pPr>
            <w:r>
              <w:rPr>
                <w:rFonts w:ascii="Times New Roman" w:hAnsi="Times New Roman"/>
                <w:sz w:val="22"/>
                <w:szCs w:val="22"/>
              </w:rPr>
              <w:t xml:space="preserve">The drug is exempt from IND requirements. (Complete Section </w:t>
            </w:r>
            <w:r w:rsidR="00917C8B">
              <w:rPr>
                <w:rFonts w:ascii="Times New Roman" w:hAnsi="Times New Roman"/>
                <w:sz w:val="22"/>
                <w:szCs w:val="22"/>
              </w:rPr>
              <w:t>5</w:t>
            </w:r>
            <w:r>
              <w:rPr>
                <w:rFonts w:ascii="Times New Roman" w:hAnsi="Times New Roman"/>
                <w:sz w:val="22"/>
                <w:szCs w:val="22"/>
              </w:rPr>
              <w:t>)</w:t>
            </w:r>
          </w:p>
        </w:tc>
      </w:tr>
      <w:tr w:rsidR="00BA5EB8" w:rsidRPr="00D10741" w:rsidTr="00D10741">
        <w:trPr>
          <w:trHeight w:val="216"/>
        </w:trPr>
        <w:tc>
          <w:tcPr>
            <w:tcW w:w="11005" w:type="dxa"/>
            <w:gridSpan w:val="3"/>
            <w:tcMar>
              <w:top w:w="29" w:type="dxa"/>
              <w:left w:w="115" w:type="dxa"/>
              <w:bottom w:w="29" w:type="dxa"/>
              <w:right w:w="115" w:type="dxa"/>
            </w:tcMar>
          </w:tcPr>
          <w:p w:rsidR="00BA5EB8" w:rsidRPr="00D10741" w:rsidRDefault="00522280" w:rsidP="00653FE0">
            <w:pPr>
              <w:pStyle w:val="BodyText"/>
              <w:tabs>
                <w:tab w:val="left" w:pos="360"/>
              </w:tabs>
              <w:rPr>
                <w:rFonts w:ascii="Times New Roman" w:hAnsi="Times New Roman"/>
                <w:b/>
                <w:sz w:val="22"/>
                <w:szCs w:val="22"/>
              </w:rPr>
            </w:pPr>
            <w:r>
              <w:rPr>
                <w:rFonts w:ascii="Times New Roman" w:hAnsi="Times New Roman"/>
                <w:b/>
                <w:sz w:val="22"/>
                <w:szCs w:val="22"/>
              </w:rPr>
              <w:t xml:space="preserve">3 - </w:t>
            </w:r>
            <w:r w:rsidR="00BA5EB8" w:rsidRPr="00D10741">
              <w:rPr>
                <w:rFonts w:ascii="Times New Roman" w:hAnsi="Times New Roman"/>
                <w:b/>
                <w:sz w:val="22"/>
                <w:szCs w:val="22"/>
              </w:rPr>
              <w:t>IND Validation</w:t>
            </w:r>
            <w:r w:rsidR="00653FE0">
              <w:rPr>
                <w:rFonts w:ascii="Times New Roman" w:hAnsi="Times New Roman"/>
                <w:b/>
                <w:sz w:val="22"/>
                <w:szCs w:val="22"/>
              </w:rPr>
              <w:t xml:space="preserve"> </w:t>
            </w:r>
            <w:r w:rsidR="00653FE0" w:rsidRPr="0015191C">
              <w:rPr>
                <w:rFonts w:ascii="Times New Roman" w:hAnsi="Times New Roman"/>
                <w:sz w:val="22"/>
                <w:szCs w:val="22"/>
              </w:rPr>
              <w:t xml:space="preserve">(MUST check </w:t>
            </w:r>
            <w:r w:rsidR="00653FE0">
              <w:rPr>
                <w:rFonts w:ascii="Times New Roman" w:hAnsi="Times New Roman"/>
                <w:sz w:val="22"/>
                <w:szCs w:val="22"/>
              </w:rPr>
              <w:t>at least one</w:t>
            </w:r>
            <w:r w:rsidR="00653FE0" w:rsidRPr="0015191C">
              <w:rPr>
                <w:rFonts w:ascii="Times New Roman" w:hAnsi="Times New Roman"/>
                <w:sz w:val="22"/>
                <w:szCs w:val="22"/>
              </w:rPr>
              <w:t>)</w:t>
            </w:r>
          </w:p>
        </w:tc>
      </w:tr>
      <w:tr w:rsidR="0022340B" w:rsidRPr="00D10741" w:rsidTr="00D10741">
        <w:trPr>
          <w:trHeight w:val="216"/>
        </w:trPr>
        <w:tc>
          <w:tcPr>
            <w:tcW w:w="506"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Mar>
              <w:top w:w="29" w:type="dxa"/>
              <w:left w:w="115" w:type="dxa"/>
              <w:bottom w:w="29" w:type="dxa"/>
              <w:right w:w="115" w:type="dxa"/>
            </w:tcMar>
          </w:tcPr>
          <w:p w:rsidR="0022340B" w:rsidRPr="00D10741" w:rsidRDefault="008C628D" w:rsidP="003D798A">
            <w:pPr>
              <w:pStyle w:val="BodyText"/>
              <w:tabs>
                <w:tab w:val="left" w:pos="360"/>
              </w:tabs>
              <w:rPr>
                <w:rFonts w:ascii="Times New Roman" w:hAnsi="Times New Roman"/>
                <w:color w:val="080808"/>
                <w:sz w:val="22"/>
                <w:szCs w:val="22"/>
              </w:rPr>
            </w:pPr>
            <w:r>
              <w:rPr>
                <w:rFonts w:ascii="Times New Roman" w:hAnsi="Times New Roman"/>
                <w:color w:val="080808"/>
                <w:sz w:val="22"/>
                <w:szCs w:val="22"/>
              </w:rPr>
              <w:t>P</w:t>
            </w:r>
            <w:r w:rsidR="00430205">
              <w:rPr>
                <w:rFonts w:ascii="Times New Roman" w:hAnsi="Times New Roman"/>
                <w:color w:val="080808"/>
                <w:sz w:val="22"/>
                <w:szCs w:val="22"/>
              </w:rPr>
              <w:t>rotocol includes written communication from the sponsor documenting the IND number.</w:t>
            </w:r>
          </w:p>
        </w:tc>
      </w:tr>
      <w:tr w:rsidR="0022340B" w:rsidRPr="00D10741" w:rsidTr="00D10741">
        <w:trPr>
          <w:trHeight w:val="216"/>
        </w:trPr>
        <w:tc>
          <w:tcPr>
            <w:tcW w:w="506"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Mar>
              <w:top w:w="29" w:type="dxa"/>
              <w:left w:w="115" w:type="dxa"/>
              <w:bottom w:w="29" w:type="dxa"/>
              <w:right w:w="115" w:type="dxa"/>
            </w:tcMar>
          </w:tcPr>
          <w:p w:rsidR="0022340B" w:rsidRPr="00D10741" w:rsidRDefault="008C628D" w:rsidP="003D798A">
            <w:pPr>
              <w:pStyle w:val="BodyText"/>
              <w:tabs>
                <w:tab w:val="left" w:pos="360"/>
              </w:tabs>
              <w:rPr>
                <w:rFonts w:ascii="Times New Roman" w:hAnsi="Times New Roman"/>
                <w:color w:val="080808"/>
                <w:sz w:val="22"/>
                <w:szCs w:val="22"/>
              </w:rPr>
            </w:pPr>
            <w:r>
              <w:rPr>
                <w:rFonts w:ascii="Times New Roman" w:hAnsi="Times New Roman"/>
                <w:color w:val="080808"/>
                <w:sz w:val="22"/>
                <w:szCs w:val="22"/>
              </w:rPr>
              <w:t>S</w:t>
            </w:r>
            <w:r w:rsidR="00430205">
              <w:rPr>
                <w:rFonts w:ascii="Times New Roman" w:hAnsi="Times New Roman"/>
                <w:color w:val="080808"/>
                <w:sz w:val="22"/>
                <w:szCs w:val="22"/>
              </w:rPr>
              <w:t>ponsor protocol is imprinted with the IND number.</w:t>
            </w:r>
          </w:p>
        </w:tc>
      </w:tr>
      <w:tr w:rsidR="0022340B" w:rsidRPr="00D10741" w:rsidTr="00D10741">
        <w:trPr>
          <w:trHeight w:val="216"/>
        </w:trPr>
        <w:tc>
          <w:tcPr>
            <w:tcW w:w="506"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Mar>
              <w:top w:w="29" w:type="dxa"/>
              <w:left w:w="115" w:type="dxa"/>
              <w:bottom w:w="29" w:type="dxa"/>
              <w:right w:w="115" w:type="dxa"/>
            </w:tcMar>
          </w:tcPr>
          <w:p w:rsidR="00430205" w:rsidRDefault="008C628D" w:rsidP="00430205">
            <w:pPr>
              <w:pStyle w:val="BodyText"/>
              <w:tabs>
                <w:tab w:val="left" w:pos="360"/>
              </w:tabs>
              <w:rPr>
                <w:rFonts w:ascii="Times New Roman" w:hAnsi="Times New Roman"/>
                <w:color w:val="080808"/>
                <w:sz w:val="22"/>
                <w:szCs w:val="22"/>
              </w:rPr>
            </w:pPr>
            <w:r>
              <w:rPr>
                <w:rFonts w:ascii="Times New Roman" w:hAnsi="Times New Roman"/>
                <w:color w:val="080808"/>
                <w:sz w:val="22"/>
                <w:szCs w:val="22"/>
              </w:rPr>
              <w:t>P</w:t>
            </w:r>
            <w:r w:rsidR="00430205">
              <w:rPr>
                <w:rFonts w:ascii="Times New Roman" w:hAnsi="Times New Roman"/>
                <w:color w:val="080808"/>
                <w:sz w:val="22"/>
                <w:szCs w:val="22"/>
              </w:rPr>
              <w:t>rotocol includes written communication from the FDA documenting the IND number.</w:t>
            </w:r>
          </w:p>
          <w:p w:rsidR="0022340B" w:rsidRPr="00D10741" w:rsidRDefault="00430205" w:rsidP="00430205">
            <w:pPr>
              <w:pStyle w:val="BodyText"/>
              <w:tabs>
                <w:tab w:val="left" w:pos="360"/>
              </w:tabs>
              <w:ind w:left="394"/>
              <w:rPr>
                <w:rFonts w:ascii="Times New Roman" w:hAnsi="Times New Roman"/>
                <w:color w:val="080808"/>
                <w:sz w:val="22"/>
                <w:szCs w:val="22"/>
              </w:rPr>
            </w:pPr>
            <w:r w:rsidRPr="00430205">
              <w:rPr>
                <w:rFonts w:ascii="Times New Roman" w:hAnsi="Times New Roman"/>
                <w:i/>
                <w:color w:val="080808"/>
                <w:sz w:val="22"/>
                <w:szCs w:val="22"/>
              </w:rPr>
              <w:t>Note:</w:t>
            </w:r>
            <w:r>
              <w:rPr>
                <w:rFonts w:ascii="Times New Roman" w:hAnsi="Times New Roman"/>
                <w:i/>
                <w:color w:val="080808"/>
                <w:sz w:val="22"/>
                <w:szCs w:val="22"/>
              </w:rPr>
              <w:t xml:space="preserve"> This is r</w:t>
            </w:r>
            <w:r w:rsidRPr="00430205">
              <w:rPr>
                <w:rFonts w:ascii="Times New Roman" w:hAnsi="Times New Roman"/>
                <w:i/>
                <w:color w:val="080808"/>
                <w:sz w:val="22"/>
                <w:szCs w:val="22"/>
              </w:rPr>
              <w:t>equired if the investigator holds the IN</w:t>
            </w:r>
            <w:r>
              <w:rPr>
                <w:rFonts w:ascii="Times New Roman" w:hAnsi="Times New Roman"/>
                <w:i/>
                <w:color w:val="080808"/>
                <w:sz w:val="22"/>
                <w:szCs w:val="22"/>
              </w:rPr>
              <w:t>D.</w:t>
            </w:r>
            <w:r w:rsidR="00917C8B">
              <w:rPr>
                <w:rFonts w:ascii="Times New Roman" w:hAnsi="Times New Roman"/>
                <w:i/>
                <w:color w:val="080808"/>
                <w:sz w:val="22"/>
                <w:szCs w:val="22"/>
              </w:rPr>
              <w:t xml:space="preserve"> Also see section #6.</w:t>
            </w:r>
          </w:p>
        </w:tc>
      </w:tr>
      <w:tr w:rsidR="00917C8B" w:rsidRPr="00D10741" w:rsidTr="00D10741">
        <w:trPr>
          <w:trHeight w:val="216"/>
        </w:trPr>
        <w:tc>
          <w:tcPr>
            <w:tcW w:w="11005" w:type="dxa"/>
            <w:gridSpan w:val="3"/>
            <w:tcMar>
              <w:top w:w="29" w:type="dxa"/>
              <w:left w:w="115" w:type="dxa"/>
              <w:bottom w:w="29" w:type="dxa"/>
              <w:right w:w="115" w:type="dxa"/>
            </w:tcMar>
          </w:tcPr>
          <w:p w:rsidR="00917C8B" w:rsidRPr="00917C8B" w:rsidRDefault="00917C8B" w:rsidP="00A453BD">
            <w:pPr>
              <w:rPr>
                <w:b/>
                <w:sz w:val="22"/>
                <w:szCs w:val="22"/>
              </w:rPr>
            </w:pPr>
            <w:r>
              <w:rPr>
                <w:b/>
                <w:sz w:val="22"/>
                <w:szCs w:val="22"/>
              </w:rPr>
              <w:t>4 – Drug Control</w:t>
            </w:r>
          </w:p>
        </w:tc>
      </w:tr>
      <w:tr w:rsidR="00917C8B" w:rsidRPr="00D10741" w:rsidTr="00917C8B">
        <w:trPr>
          <w:trHeight w:val="216"/>
        </w:trPr>
        <w:tc>
          <w:tcPr>
            <w:tcW w:w="506" w:type="dxa"/>
            <w:tcMar>
              <w:top w:w="29" w:type="dxa"/>
              <w:left w:w="115" w:type="dxa"/>
              <w:bottom w:w="29" w:type="dxa"/>
              <w:right w:w="115" w:type="dxa"/>
            </w:tcMar>
          </w:tcPr>
          <w:p w:rsidR="00917C8B" w:rsidRPr="00917C8B" w:rsidRDefault="00917C8B" w:rsidP="00A453BD">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10499" w:type="dxa"/>
            <w:gridSpan w:val="2"/>
          </w:tcPr>
          <w:p w:rsidR="00917C8B" w:rsidRPr="00917C8B" w:rsidRDefault="00917C8B" w:rsidP="00A453BD">
            <w:pPr>
              <w:rPr>
                <w:sz w:val="22"/>
                <w:szCs w:val="22"/>
              </w:rPr>
            </w:pPr>
            <w:r>
              <w:rPr>
                <w:sz w:val="22"/>
                <w:szCs w:val="22"/>
              </w:rPr>
              <w:t>Protocol outlines the plan for storage, control and dispensing of the drug and the plan is adequate to ensure only authorized personnel will use the drug in study participants. A dispensing log should be kept.</w:t>
            </w:r>
          </w:p>
        </w:tc>
      </w:tr>
      <w:tr w:rsidR="00BA5EB8" w:rsidRPr="00D10741" w:rsidTr="00D10741">
        <w:trPr>
          <w:trHeight w:val="216"/>
        </w:trPr>
        <w:tc>
          <w:tcPr>
            <w:tcW w:w="11005" w:type="dxa"/>
            <w:gridSpan w:val="3"/>
            <w:tcMar>
              <w:top w:w="29" w:type="dxa"/>
              <w:left w:w="115" w:type="dxa"/>
              <w:bottom w:w="29" w:type="dxa"/>
              <w:right w:w="115" w:type="dxa"/>
            </w:tcMar>
          </w:tcPr>
          <w:p w:rsidR="00BA5EB8" w:rsidRDefault="00917C8B" w:rsidP="00A453BD">
            <w:pPr>
              <w:rPr>
                <w:b/>
                <w:sz w:val="22"/>
                <w:szCs w:val="22"/>
              </w:rPr>
            </w:pPr>
            <w:r>
              <w:rPr>
                <w:b/>
                <w:sz w:val="22"/>
                <w:szCs w:val="22"/>
              </w:rPr>
              <w:t>5</w:t>
            </w:r>
            <w:r w:rsidR="00522280">
              <w:rPr>
                <w:b/>
                <w:sz w:val="22"/>
                <w:szCs w:val="22"/>
              </w:rPr>
              <w:t xml:space="preserve"> - </w:t>
            </w:r>
            <w:r w:rsidR="00BA5EB8" w:rsidRPr="00D10741">
              <w:rPr>
                <w:b/>
                <w:sz w:val="22"/>
                <w:szCs w:val="22"/>
              </w:rPr>
              <w:t>IND Exceptions</w:t>
            </w:r>
            <w:r w:rsidR="00653FE0">
              <w:rPr>
                <w:b/>
                <w:sz w:val="22"/>
                <w:szCs w:val="22"/>
              </w:rPr>
              <w:t xml:space="preserve"> </w:t>
            </w:r>
          </w:p>
          <w:p w:rsidR="00653FE0" w:rsidRPr="00653FE0" w:rsidRDefault="00653FE0" w:rsidP="00653FE0">
            <w:pPr>
              <w:tabs>
                <w:tab w:val="left" w:pos="394"/>
              </w:tabs>
              <w:ind w:left="394"/>
              <w:rPr>
                <w:i/>
                <w:sz w:val="22"/>
                <w:szCs w:val="22"/>
              </w:rPr>
            </w:pPr>
            <w:r w:rsidRPr="00D10741">
              <w:rPr>
                <w:i/>
                <w:sz w:val="22"/>
                <w:szCs w:val="22"/>
              </w:rPr>
              <w:t xml:space="preserve">Note: </w:t>
            </w:r>
            <w:r>
              <w:rPr>
                <w:i/>
                <w:sz w:val="22"/>
                <w:szCs w:val="22"/>
              </w:rPr>
              <w:t>All criteria for one category must be checked for the category to be met. If no categories are met, then the drug is not exempt from an IND.</w:t>
            </w:r>
          </w:p>
        </w:tc>
      </w:tr>
      <w:tr w:rsidR="00D10741" w:rsidRPr="00D10741" w:rsidTr="00D10741">
        <w:trPr>
          <w:trHeight w:val="216"/>
        </w:trPr>
        <w:tc>
          <w:tcPr>
            <w:tcW w:w="506" w:type="dxa"/>
            <w:vMerge w:val="restart"/>
            <w:shd w:val="clear" w:color="auto" w:fill="262626" w:themeFill="text1" w:themeFillTint="D9"/>
            <w:tcMar>
              <w:top w:w="29" w:type="dxa"/>
              <w:left w:w="115" w:type="dxa"/>
              <w:bottom w:w="29" w:type="dxa"/>
              <w:right w:w="115" w:type="dxa"/>
            </w:tcMar>
          </w:tcPr>
          <w:p w:rsidR="00D10741" w:rsidRPr="00D10741" w:rsidRDefault="00D10741" w:rsidP="00C53343">
            <w:pPr>
              <w:tabs>
                <w:tab w:val="left" w:pos="360"/>
              </w:tabs>
              <w:jc w:val="right"/>
              <w:rPr>
                <w:sz w:val="22"/>
                <w:szCs w:val="22"/>
              </w:rPr>
            </w:pPr>
          </w:p>
        </w:tc>
        <w:tc>
          <w:tcPr>
            <w:tcW w:w="10499" w:type="dxa"/>
            <w:gridSpan w:val="2"/>
            <w:tcMar>
              <w:top w:w="29" w:type="dxa"/>
              <w:left w:w="115" w:type="dxa"/>
              <w:bottom w:w="29" w:type="dxa"/>
              <w:right w:w="115" w:type="dxa"/>
            </w:tcMar>
          </w:tcPr>
          <w:p w:rsidR="00D10741" w:rsidRPr="00C809EB" w:rsidRDefault="0077771A" w:rsidP="00917C8B">
            <w:pPr>
              <w:rPr>
                <w:b/>
                <w:sz w:val="22"/>
                <w:szCs w:val="22"/>
              </w:rPr>
            </w:pPr>
            <w:r w:rsidRPr="00C809EB">
              <w:rPr>
                <w:b/>
                <w:sz w:val="22"/>
                <w:szCs w:val="22"/>
              </w:rPr>
              <w:t>Category #1: Approved Drug (21 C</w:t>
            </w:r>
            <w:r w:rsidR="00917C8B">
              <w:rPr>
                <w:b/>
                <w:sz w:val="22"/>
                <w:szCs w:val="22"/>
              </w:rPr>
              <w:t>FR</w:t>
            </w:r>
            <w:r w:rsidRPr="00C809EB">
              <w:rPr>
                <w:b/>
                <w:sz w:val="22"/>
                <w:szCs w:val="22"/>
              </w:rPr>
              <w:t xml:space="preserve"> 312.2 (B)(1))</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C53343">
            <w:pPr>
              <w:tabs>
                <w:tab w:val="left" w:pos="360"/>
              </w:tabs>
              <w:jc w:val="right"/>
              <w:rPr>
                <w:sz w:val="22"/>
                <w:szCs w:val="22"/>
              </w:rPr>
            </w:pPr>
          </w:p>
        </w:tc>
        <w:tc>
          <w:tcPr>
            <w:tcW w:w="532" w:type="dxa"/>
            <w:tcMar>
              <w:top w:w="29" w:type="dxa"/>
              <w:left w:w="115" w:type="dxa"/>
              <w:bottom w:w="29" w:type="dxa"/>
              <w:right w:w="115" w:type="dxa"/>
            </w:tcMar>
          </w:tcPr>
          <w:p w:rsidR="00D10741" w:rsidRPr="00D10741" w:rsidRDefault="00D10741"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77771A" w:rsidP="00A453BD">
            <w:pPr>
              <w:pStyle w:val="BodyText"/>
              <w:tabs>
                <w:tab w:val="left" w:pos="0"/>
              </w:tabs>
              <w:rPr>
                <w:rFonts w:ascii="Times New Roman" w:hAnsi="Times New Roman"/>
                <w:sz w:val="22"/>
                <w:szCs w:val="22"/>
              </w:rPr>
            </w:pPr>
            <w:r w:rsidRPr="00B318AF">
              <w:rPr>
                <w:rFonts w:ascii="Times New Roman" w:hAnsi="Times New Roman"/>
                <w:sz w:val="22"/>
                <w:szCs w:val="22"/>
              </w:rPr>
              <w:t>The drug is lawfully marketed in the United States.</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C53343">
            <w:pPr>
              <w:tabs>
                <w:tab w:val="left" w:pos="360"/>
              </w:tabs>
              <w:jc w:val="right"/>
              <w:rPr>
                <w:sz w:val="22"/>
                <w:szCs w:val="22"/>
              </w:rPr>
            </w:pPr>
          </w:p>
        </w:tc>
        <w:tc>
          <w:tcPr>
            <w:tcW w:w="532" w:type="dxa"/>
            <w:tcMar>
              <w:top w:w="29" w:type="dxa"/>
              <w:left w:w="115" w:type="dxa"/>
              <w:bottom w:w="29" w:type="dxa"/>
              <w:right w:w="115" w:type="dxa"/>
            </w:tcMar>
          </w:tcPr>
          <w:p w:rsidR="00D10741" w:rsidRPr="00D10741" w:rsidRDefault="00D10741"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77771A" w:rsidP="00A453BD">
            <w:pPr>
              <w:pStyle w:val="BodyText"/>
              <w:tabs>
                <w:tab w:val="left" w:pos="0"/>
              </w:tabs>
              <w:rPr>
                <w:rFonts w:ascii="Times New Roman" w:hAnsi="Times New Roman"/>
                <w:sz w:val="22"/>
                <w:szCs w:val="22"/>
              </w:rPr>
            </w:pPr>
            <w:r w:rsidRPr="00B318AF">
              <w:rPr>
                <w:rFonts w:ascii="Times New Roman" w:hAnsi="Times New Roman"/>
                <w:sz w:val="22"/>
                <w:szCs w:val="22"/>
              </w:rPr>
              <w:t>The research is not intended to be reported to the FDA as a well-controlled study in support of a new indication for use no</w:t>
            </w:r>
            <w:r w:rsidR="00B318AF" w:rsidRPr="00B318AF">
              <w:rPr>
                <w:rFonts w:ascii="Times New Roman" w:hAnsi="Times New Roman"/>
                <w:sz w:val="22"/>
                <w:szCs w:val="22"/>
              </w:rPr>
              <w:t>r</w:t>
            </w:r>
            <w:r w:rsidRPr="00B318AF">
              <w:rPr>
                <w:rFonts w:ascii="Times New Roman" w:hAnsi="Times New Roman"/>
                <w:sz w:val="22"/>
                <w:szCs w:val="22"/>
              </w:rPr>
              <w:t xml:space="preserve"> intended to be used to support any other significant change in the labeling for the drug.</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C53343">
            <w:pPr>
              <w:tabs>
                <w:tab w:val="left" w:pos="360"/>
              </w:tabs>
              <w:jc w:val="right"/>
              <w:rPr>
                <w:sz w:val="22"/>
                <w:szCs w:val="22"/>
              </w:rPr>
            </w:pPr>
          </w:p>
        </w:tc>
        <w:tc>
          <w:tcPr>
            <w:tcW w:w="532" w:type="dxa"/>
            <w:tcMar>
              <w:top w:w="29" w:type="dxa"/>
              <w:left w:w="115" w:type="dxa"/>
              <w:bottom w:w="29" w:type="dxa"/>
              <w:right w:w="115" w:type="dxa"/>
            </w:tcMar>
          </w:tcPr>
          <w:p w:rsidR="00D10741" w:rsidRPr="00D10741" w:rsidRDefault="00D10741"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77771A" w:rsidP="00A453BD">
            <w:pPr>
              <w:pStyle w:val="BodyText"/>
              <w:tabs>
                <w:tab w:val="left" w:pos="360"/>
              </w:tabs>
              <w:rPr>
                <w:rFonts w:ascii="Times New Roman" w:hAnsi="Times New Roman"/>
                <w:sz w:val="22"/>
                <w:szCs w:val="22"/>
              </w:rPr>
            </w:pPr>
            <w:r w:rsidRPr="00B318AF">
              <w:rPr>
                <w:rFonts w:ascii="Times New Roman" w:hAnsi="Times New Roman"/>
                <w:sz w:val="22"/>
                <w:szCs w:val="22"/>
              </w:rPr>
              <w:t>The research is not intended to support a significant change in the advertising for the drug.</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C5334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Default="0077771A" w:rsidP="00A453BD">
            <w:pPr>
              <w:pStyle w:val="BodyText"/>
              <w:tabs>
                <w:tab w:val="left" w:pos="360"/>
              </w:tabs>
              <w:rPr>
                <w:rFonts w:ascii="Times New Roman" w:hAnsi="Times New Roman"/>
                <w:sz w:val="22"/>
                <w:szCs w:val="22"/>
              </w:rPr>
            </w:pPr>
            <w:r w:rsidRPr="00B318AF">
              <w:rPr>
                <w:rFonts w:ascii="Times New Roman" w:hAnsi="Times New Roman"/>
                <w:sz w:val="22"/>
                <w:szCs w:val="22"/>
              </w:rPr>
              <w:t>The research does not involve</w:t>
            </w:r>
            <w:r w:rsidR="002E64D8">
              <w:rPr>
                <w:rFonts w:ascii="Times New Roman" w:hAnsi="Times New Roman"/>
                <w:sz w:val="22"/>
                <w:szCs w:val="22"/>
              </w:rPr>
              <w:t xml:space="preserve"> any of the following </w:t>
            </w:r>
            <w:r w:rsidR="002E64D8" w:rsidRPr="004814BD">
              <w:rPr>
                <w:rFonts w:ascii="Times New Roman" w:hAnsi="Times New Roman"/>
                <w:sz w:val="22"/>
                <w:szCs w:val="22"/>
                <w:u w:val="single"/>
              </w:rPr>
              <w:t xml:space="preserve">that </w:t>
            </w:r>
            <w:r w:rsidR="004814BD" w:rsidRPr="004814BD">
              <w:rPr>
                <w:rFonts w:ascii="Times New Roman" w:hAnsi="Times New Roman"/>
                <w:sz w:val="22"/>
                <w:szCs w:val="22"/>
                <w:u w:val="single"/>
              </w:rPr>
              <w:t>significantly increase</w:t>
            </w:r>
            <w:r w:rsidR="004814BD">
              <w:rPr>
                <w:rFonts w:ascii="Times New Roman" w:hAnsi="Times New Roman"/>
                <w:sz w:val="22"/>
                <w:szCs w:val="22"/>
                <w:u w:val="single"/>
              </w:rPr>
              <w:t>s</w:t>
            </w:r>
            <w:r w:rsidR="002E64D8" w:rsidRPr="004814BD">
              <w:rPr>
                <w:rFonts w:ascii="Times New Roman" w:hAnsi="Times New Roman"/>
                <w:sz w:val="22"/>
                <w:szCs w:val="22"/>
                <w:u w:val="single"/>
              </w:rPr>
              <w:t xml:space="preserve"> the risk (or decreases the acceptability of the risks)</w:t>
            </w:r>
            <w:r w:rsidR="002E64D8" w:rsidRPr="004814BD">
              <w:rPr>
                <w:sz w:val="22"/>
                <w:szCs w:val="22"/>
                <w:u w:val="single"/>
              </w:rPr>
              <w:t xml:space="preserve"> </w:t>
            </w:r>
            <w:r w:rsidR="002E64D8" w:rsidRPr="004814BD">
              <w:rPr>
                <w:rFonts w:ascii="Times New Roman" w:hAnsi="Times New Roman"/>
                <w:sz w:val="22"/>
                <w:szCs w:val="22"/>
                <w:u w:val="single"/>
              </w:rPr>
              <w:t>associated with use of the drug</w:t>
            </w:r>
            <w:r w:rsidR="002E64D8">
              <w:rPr>
                <w:rFonts w:ascii="Times New Roman" w:hAnsi="Times New Roman"/>
                <w:sz w:val="22"/>
                <w:szCs w:val="22"/>
              </w:rPr>
              <w:t>:</w:t>
            </w:r>
          </w:p>
          <w:p w:rsidR="002E64D8" w:rsidRDefault="002E64D8" w:rsidP="002E64D8">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Pr>
                <w:sz w:val="22"/>
                <w:szCs w:val="22"/>
              </w:rPr>
              <w:t xml:space="preserve"> A</w:t>
            </w:r>
            <w:r w:rsidRPr="00B318AF">
              <w:rPr>
                <w:sz w:val="22"/>
                <w:szCs w:val="22"/>
              </w:rPr>
              <w:t xml:space="preserve"> route of administration</w:t>
            </w:r>
            <w:r>
              <w:rPr>
                <w:sz w:val="22"/>
                <w:szCs w:val="22"/>
              </w:rPr>
              <w:t>;</w:t>
            </w:r>
            <w:r w:rsidRPr="00B318AF">
              <w:rPr>
                <w:sz w:val="22"/>
                <w:szCs w:val="22"/>
              </w:rPr>
              <w:t xml:space="preserve"> </w:t>
            </w:r>
          </w:p>
          <w:p w:rsidR="002E64D8" w:rsidRDefault="002E64D8" w:rsidP="002E64D8">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Pr>
                <w:sz w:val="22"/>
                <w:szCs w:val="22"/>
              </w:rPr>
              <w:t xml:space="preserve"> D</w:t>
            </w:r>
            <w:r w:rsidRPr="00B318AF">
              <w:rPr>
                <w:sz w:val="22"/>
                <w:szCs w:val="22"/>
              </w:rPr>
              <w:t>osage level</w:t>
            </w:r>
            <w:r>
              <w:rPr>
                <w:sz w:val="22"/>
                <w:szCs w:val="22"/>
              </w:rPr>
              <w:t>;</w:t>
            </w:r>
          </w:p>
          <w:p w:rsidR="002E64D8" w:rsidRDefault="002E64D8" w:rsidP="002E64D8">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Pr>
                <w:sz w:val="22"/>
                <w:szCs w:val="22"/>
              </w:rPr>
              <w:t xml:space="preserve"> U</w:t>
            </w:r>
            <w:r w:rsidRPr="00B318AF">
              <w:rPr>
                <w:sz w:val="22"/>
                <w:szCs w:val="22"/>
              </w:rPr>
              <w:t>se in a patient population</w:t>
            </w:r>
            <w:r>
              <w:rPr>
                <w:sz w:val="22"/>
                <w:szCs w:val="22"/>
              </w:rPr>
              <w:t>;</w:t>
            </w:r>
          </w:p>
          <w:p w:rsidR="002E64D8" w:rsidRPr="002E64D8" w:rsidRDefault="002E64D8" w:rsidP="002E64D8">
            <w:pP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r w:rsidRPr="00B318AF">
              <w:rPr>
                <w:sz w:val="22"/>
                <w:szCs w:val="22"/>
              </w:rPr>
              <w:t xml:space="preserve"> </w:t>
            </w:r>
            <w:r>
              <w:rPr>
                <w:sz w:val="22"/>
                <w:szCs w:val="22"/>
              </w:rPr>
              <w:t>O</w:t>
            </w:r>
            <w:r w:rsidRPr="00B318AF">
              <w:rPr>
                <w:sz w:val="22"/>
                <w:szCs w:val="22"/>
              </w:rPr>
              <w:t>ther factor</w:t>
            </w:r>
            <w:r>
              <w:rPr>
                <w:sz w:val="22"/>
                <w:szCs w:val="22"/>
              </w:rPr>
              <w:t>.</w:t>
            </w:r>
            <w:r w:rsidRPr="00B318AF">
              <w:rPr>
                <w:sz w:val="22"/>
                <w:szCs w:val="22"/>
              </w:rPr>
              <w:t xml:space="preserve"> </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77771A" w:rsidP="003D798A">
            <w:pPr>
              <w:pStyle w:val="BodyText"/>
              <w:tabs>
                <w:tab w:val="left" w:pos="360"/>
              </w:tabs>
              <w:rPr>
                <w:rFonts w:ascii="Times New Roman" w:hAnsi="Times New Roman"/>
                <w:sz w:val="22"/>
                <w:szCs w:val="22"/>
              </w:rPr>
            </w:pPr>
            <w:r w:rsidRPr="00B318AF">
              <w:rPr>
                <w:rFonts w:ascii="Times New Roman" w:hAnsi="Times New Roman"/>
                <w:sz w:val="22"/>
                <w:szCs w:val="22"/>
              </w:rPr>
              <w:t>The research is conducted in compliance with the marketing limit</w:t>
            </w:r>
            <w:r w:rsidR="00B318AF" w:rsidRPr="00B318AF">
              <w:rPr>
                <w:rFonts w:ascii="Times New Roman" w:hAnsi="Times New Roman"/>
                <w:sz w:val="22"/>
                <w:szCs w:val="22"/>
              </w:rPr>
              <w:t>ation described in 21 CFR 312.7</w:t>
            </w:r>
            <w:r w:rsidRPr="00B318AF">
              <w:rPr>
                <w:rFonts w:ascii="Times New Roman" w:hAnsi="Times New Roman"/>
                <w:sz w:val="22"/>
                <w:szCs w:val="22"/>
              </w:rPr>
              <w:t>.</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10499" w:type="dxa"/>
            <w:gridSpan w:val="2"/>
            <w:tcMar>
              <w:top w:w="29" w:type="dxa"/>
              <w:left w:w="115" w:type="dxa"/>
              <w:bottom w:w="29" w:type="dxa"/>
              <w:right w:w="115" w:type="dxa"/>
            </w:tcMar>
          </w:tcPr>
          <w:p w:rsidR="00D10741" w:rsidRPr="00653FE0" w:rsidRDefault="00D10741" w:rsidP="00653FE0">
            <w:pPr>
              <w:pStyle w:val="BodyText"/>
              <w:tabs>
                <w:tab w:val="left" w:pos="360"/>
              </w:tabs>
              <w:rPr>
                <w:rFonts w:ascii="Times New Roman" w:hAnsi="Times New Roman"/>
                <w:b/>
                <w:color w:val="080808"/>
                <w:sz w:val="22"/>
                <w:szCs w:val="22"/>
              </w:rPr>
            </w:pPr>
            <w:r w:rsidRPr="00653FE0">
              <w:rPr>
                <w:rFonts w:ascii="Times New Roman" w:hAnsi="Times New Roman"/>
                <w:b/>
                <w:sz w:val="22"/>
                <w:szCs w:val="22"/>
              </w:rPr>
              <w:t>Category #2</w:t>
            </w:r>
            <w:r w:rsidR="00C809EB" w:rsidRPr="00653FE0">
              <w:rPr>
                <w:rFonts w:ascii="Times New Roman" w:hAnsi="Times New Roman"/>
                <w:b/>
                <w:sz w:val="22"/>
                <w:szCs w:val="22"/>
              </w:rPr>
              <w:t>: Serological Test (21 CFR 312.2 (b)(2))</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653FE0">
            <w:pPr>
              <w:jc w:val="center"/>
              <w:rPr>
                <w:b/>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B318AF" w:rsidRPr="00B318AF" w:rsidRDefault="009F150D" w:rsidP="003D798A">
            <w:pPr>
              <w:pStyle w:val="BodyText"/>
              <w:tabs>
                <w:tab w:val="left" w:pos="360"/>
              </w:tabs>
              <w:rPr>
                <w:rFonts w:ascii="Times New Roman" w:hAnsi="Times New Roman"/>
                <w:sz w:val="22"/>
                <w:szCs w:val="22"/>
              </w:rPr>
            </w:pPr>
            <w:r w:rsidRPr="00B318AF">
              <w:rPr>
                <w:rFonts w:ascii="Times New Roman" w:hAnsi="Times New Roman"/>
                <w:sz w:val="22"/>
                <w:szCs w:val="22"/>
              </w:rPr>
              <w:t>The research involves a clinical investigation for an in vitro diagnostic</w:t>
            </w:r>
            <w:r w:rsidRPr="00B318AF">
              <w:rPr>
                <w:rStyle w:val="EndnoteReference"/>
                <w:rFonts w:ascii="Times New Roman" w:hAnsi="Times New Roman"/>
                <w:sz w:val="22"/>
                <w:szCs w:val="22"/>
              </w:rPr>
              <w:endnoteReference w:id="4"/>
            </w:r>
            <w:r w:rsidRPr="00B318AF">
              <w:rPr>
                <w:rFonts w:ascii="Times New Roman" w:hAnsi="Times New Roman"/>
                <w:sz w:val="22"/>
                <w:szCs w:val="22"/>
              </w:rPr>
              <w:t xml:space="preserve"> biological product that involves one or more of the following: </w:t>
            </w:r>
          </w:p>
          <w:p w:rsidR="00B318AF" w:rsidRPr="00B318AF" w:rsidRDefault="00B318AF" w:rsidP="00B318AF">
            <w:pPr>
              <w:pStyle w:val="BodyText"/>
              <w:numPr>
                <w:ilvl w:val="0"/>
                <w:numId w:val="10"/>
              </w:numPr>
              <w:tabs>
                <w:tab w:val="left" w:pos="360"/>
              </w:tabs>
              <w:rPr>
                <w:rFonts w:ascii="Times New Roman" w:hAnsi="Times New Roman"/>
                <w:sz w:val="22"/>
                <w:szCs w:val="22"/>
              </w:rPr>
            </w:pPr>
            <w:r w:rsidRPr="00B318AF">
              <w:rPr>
                <w:rFonts w:ascii="Times New Roman" w:hAnsi="Times New Roman"/>
                <w:sz w:val="22"/>
                <w:szCs w:val="22"/>
              </w:rPr>
              <w:t>Blood grouping Serum</w:t>
            </w:r>
          </w:p>
          <w:p w:rsidR="00B318AF" w:rsidRPr="00B318AF" w:rsidRDefault="00B318AF" w:rsidP="00B318AF">
            <w:pPr>
              <w:pStyle w:val="BodyText"/>
              <w:numPr>
                <w:ilvl w:val="0"/>
                <w:numId w:val="10"/>
              </w:numPr>
              <w:tabs>
                <w:tab w:val="left" w:pos="360"/>
              </w:tabs>
              <w:rPr>
                <w:rFonts w:ascii="Times New Roman" w:hAnsi="Times New Roman"/>
                <w:sz w:val="22"/>
                <w:szCs w:val="22"/>
              </w:rPr>
            </w:pPr>
            <w:r w:rsidRPr="00B318AF">
              <w:rPr>
                <w:rFonts w:ascii="Times New Roman" w:hAnsi="Times New Roman"/>
                <w:sz w:val="22"/>
                <w:szCs w:val="22"/>
              </w:rPr>
              <w:t>Reagent red blood cells</w:t>
            </w:r>
          </w:p>
          <w:p w:rsidR="00D10741" w:rsidRPr="00B318AF" w:rsidRDefault="009F150D" w:rsidP="00B318AF">
            <w:pPr>
              <w:pStyle w:val="BodyText"/>
              <w:numPr>
                <w:ilvl w:val="0"/>
                <w:numId w:val="10"/>
              </w:numPr>
              <w:tabs>
                <w:tab w:val="left" w:pos="360"/>
              </w:tabs>
              <w:rPr>
                <w:rFonts w:ascii="Times New Roman" w:hAnsi="Times New Roman"/>
                <w:sz w:val="22"/>
                <w:szCs w:val="22"/>
              </w:rPr>
            </w:pPr>
            <w:r w:rsidRPr="00B318AF">
              <w:rPr>
                <w:rFonts w:ascii="Times New Roman" w:hAnsi="Times New Roman"/>
                <w:sz w:val="22"/>
                <w:szCs w:val="22"/>
              </w:rPr>
              <w:t>Anti-human globulin</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9F150D" w:rsidP="00B318AF">
            <w:pPr>
              <w:pStyle w:val="BodyText"/>
              <w:tabs>
                <w:tab w:val="left" w:pos="360"/>
              </w:tabs>
              <w:rPr>
                <w:rFonts w:ascii="Times New Roman" w:hAnsi="Times New Roman"/>
                <w:sz w:val="22"/>
                <w:szCs w:val="22"/>
              </w:rPr>
            </w:pPr>
            <w:r w:rsidRPr="00B318AF">
              <w:rPr>
                <w:rFonts w:ascii="Times New Roman" w:hAnsi="Times New Roman"/>
                <w:sz w:val="22"/>
                <w:szCs w:val="22"/>
              </w:rPr>
              <w:t xml:space="preserve">The diagnostic test </w:t>
            </w:r>
            <w:r w:rsidR="00B318AF" w:rsidRPr="00B318AF">
              <w:rPr>
                <w:rFonts w:ascii="Times New Roman" w:hAnsi="Times New Roman"/>
                <w:sz w:val="22"/>
                <w:szCs w:val="22"/>
              </w:rPr>
              <w:t xml:space="preserve">is </w:t>
            </w:r>
            <w:r w:rsidRPr="00B318AF">
              <w:rPr>
                <w:rFonts w:ascii="Times New Roman" w:hAnsi="Times New Roman"/>
                <w:sz w:val="22"/>
                <w:szCs w:val="22"/>
              </w:rPr>
              <w:t>intended to be used in a diagnostic procedure that confirms the diagnosis made by another, medically established, diagnostic product or procedure.</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9F150D" w:rsidP="003D798A">
            <w:pPr>
              <w:pStyle w:val="BodyText"/>
              <w:tabs>
                <w:tab w:val="left" w:pos="360"/>
              </w:tabs>
              <w:rPr>
                <w:rFonts w:ascii="Times New Roman" w:hAnsi="Times New Roman"/>
                <w:sz w:val="22"/>
                <w:szCs w:val="22"/>
              </w:rPr>
            </w:pPr>
            <w:r w:rsidRPr="00B318AF">
              <w:rPr>
                <w:rFonts w:ascii="Times New Roman" w:hAnsi="Times New Roman"/>
                <w:sz w:val="22"/>
                <w:szCs w:val="22"/>
              </w:rPr>
              <w:t>The method of shipping the diagnostic test complies with 21CFR 312.160.</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10499" w:type="dxa"/>
            <w:gridSpan w:val="2"/>
            <w:tcMar>
              <w:top w:w="29" w:type="dxa"/>
              <w:left w:w="115" w:type="dxa"/>
              <w:bottom w:w="29" w:type="dxa"/>
              <w:right w:w="115" w:type="dxa"/>
            </w:tcMar>
          </w:tcPr>
          <w:p w:rsidR="00D10741" w:rsidRPr="00653FE0" w:rsidRDefault="00D10741" w:rsidP="00653FE0">
            <w:pPr>
              <w:pStyle w:val="BodyText"/>
              <w:tabs>
                <w:tab w:val="left" w:pos="360"/>
              </w:tabs>
              <w:rPr>
                <w:rFonts w:ascii="Times New Roman" w:hAnsi="Times New Roman"/>
                <w:b/>
                <w:color w:val="080808"/>
                <w:sz w:val="22"/>
                <w:szCs w:val="22"/>
              </w:rPr>
            </w:pPr>
            <w:r w:rsidRPr="00653FE0">
              <w:rPr>
                <w:rFonts w:ascii="Times New Roman" w:hAnsi="Times New Roman"/>
                <w:b/>
                <w:sz w:val="22"/>
                <w:szCs w:val="22"/>
              </w:rPr>
              <w:t>Category #3</w:t>
            </w:r>
            <w:r w:rsidR="00C809EB" w:rsidRPr="00653FE0">
              <w:rPr>
                <w:rFonts w:ascii="Times New Roman" w:hAnsi="Times New Roman"/>
                <w:b/>
                <w:sz w:val="22"/>
                <w:szCs w:val="22"/>
              </w:rPr>
              <w:t>:</w:t>
            </w:r>
            <w:r w:rsidR="00974EB1">
              <w:rPr>
                <w:rFonts w:ascii="Times New Roman" w:hAnsi="Times New Roman"/>
                <w:b/>
                <w:sz w:val="22"/>
                <w:szCs w:val="22"/>
              </w:rPr>
              <w:t xml:space="preserve"> Placebos</w:t>
            </w:r>
            <w:r w:rsidR="00C809EB" w:rsidRPr="00653FE0">
              <w:rPr>
                <w:rFonts w:ascii="Times New Roman" w:hAnsi="Times New Roman"/>
                <w:b/>
                <w:sz w:val="22"/>
                <w:szCs w:val="22"/>
              </w:rPr>
              <w:t xml:space="preserve"> (21 CFR 312.2 (b)(</w:t>
            </w:r>
            <w:r w:rsidR="00653FE0" w:rsidRPr="00653FE0">
              <w:rPr>
                <w:rFonts w:ascii="Times New Roman" w:hAnsi="Times New Roman"/>
                <w:b/>
                <w:sz w:val="22"/>
                <w:szCs w:val="22"/>
              </w:rPr>
              <w:t>5</w:t>
            </w:r>
            <w:r w:rsidR="00C809EB" w:rsidRPr="00653FE0">
              <w:rPr>
                <w:rFonts w:ascii="Times New Roman" w:hAnsi="Times New Roman"/>
                <w:b/>
                <w:sz w:val="22"/>
                <w:szCs w:val="22"/>
              </w:rPr>
              <w:t>))</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D10741" w:rsidRDefault="009F150D" w:rsidP="003D798A">
            <w:pPr>
              <w:pStyle w:val="BodyText"/>
              <w:tabs>
                <w:tab w:val="left" w:pos="360"/>
              </w:tabs>
              <w:rPr>
                <w:rFonts w:ascii="Times New Roman" w:hAnsi="Times New Roman"/>
                <w:color w:val="080808"/>
                <w:sz w:val="22"/>
                <w:szCs w:val="22"/>
              </w:rPr>
            </w:pPr>
            <w:r w:rsidRPr="00B318AF">
              <w:rPr>
                <w:rFonts w:ascii="Times New Roman" w:hAnsi="Times New Roman"/>
                <w:sz w:val="22"/>
                <w:szCs w:val="22"/>
              </w:rPr>
              <w:t xml:space="preserve">The research includes a clinical investigation involving the use of a </w:t>
            </w:r>
            <w:r w:rsidR="00974EB1" w:rsidRPr="00B318AF">
              <w:rPr>
                <w:rFonts w:ascii="Times New Roman" w:hAnsi="Times New Roman"/>
                <w:sz w:val="22"/>
                <w:szCs w:val="22"/>
              </w:rPr>
              <w:t>placebo</w:t>
            </w:r>
            <w:r w:rsidRPr="00B318AF">
              <w:rPr>
                <w:rFonts w:ascii="Times New Roman" w:hAnsi="Times New Roman"/>
                <w:sz w:val="22"/>
                <w:szCs w:val="22"/>
              </w:rPr>
              <w:t xml:space="preserve"> when the investigation does not otherwise require the submission of an IND.</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10499" w:type="dxa"/>
            <w:gridSpan w:val="2"/>
            <w:tcMar>
              <w:top w:w="29" w:type="dxa"/>
              <w:left w:w="115" w:type="dxa"/>
              <w:bottom w:w="29" w:type="dxa"/>
              <w:right w:w="115" w:type="dxa"/>
            </w:tcMar>
          </w:tcPr>
          <w:p w:rsidR="00D10741" w:rsidRPr="00653FE0" w:rsidRDefault="00D10741" w:rsidP="00653FE0">
            <w:pPr>
              <w:pStyle w:val="BodyText"/>
              <w:tabs>
                <w:tab w:val="left" w:pos="360"/>
              </w:tabs>
              <w:rPr>
                <w:rFonts w:ascii="Times New Roman" w:hAnsi="Times New Roman"/>
                <w:b/>
                <w:color w:val="080808"/>
                <w:sz w:val="22"/>
                <w:szCs w:val="22"/>
              </w:rPr>
            </w:pPr>
            <w:r w:rsidRPr="00653FE0">
              <w:rPr>
                <w:rFonts w:ascii="Times New Roman" w:hAnsi="Times New Roman"/>
                <w:b/>
                <w:sz w:val="22"/>
                <w:szCs w:val="22"/>
              </w:rPr>
              <w:t>Category #4</w:t>
            </w:r>
            <w:r w:rsidR="00C809EB" w:rsidRPr="00653FE0">
              <w:rPr>
                <w:rFonts w:ascii="Times New Roman" w:hAnsi="Times New Roman"/>
                <w:b/>
                <w:sz w:val="22"/>
                <w:szCs w:val="22"/>
              </w:rPr>
              <w:t xml:space="preserve">: </w:t>
            </w:r>
            <w:r w:rsidR="00DF6E86" w:rsidRPr="00653FE0">
              <w:rPr>
                <w:rFonts w:ascii="Times New Roman" w:hAnsi="Times New Roman"/>
                <w:b/>
                <w:sz w:val="22"/>
                <w:szCs w:val="22"/>
              </w:rPr>
              <w:t>Bioavailability</w:t>
            </w:r>
            <w:r w:rsidR="00C809EB" w:rsidRPr="00653FE0">
              <w:rPr>
                <w:rFonts w:ascii="Times New Roman" w:hAnsi="Times New Roman"/>
                <w:b/>
                <w:sz w:val="22"/>
                <w:szCs w:val="22"/>
              </w:rPr>
              <w:t>/Bioequivalence Studies (21 CFR 320.31 (b) and (d))</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rPr>
                <w:b/>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F150D" w:rsidP="009F150D">
            <w:pPr>
              <w:rPr>
                <w:sz w:val="22"/>
                <w:szCs w:val="22"/>
              </w:rPr>
            </w:pPr>
            <w:r w:rsidRPr="00B318AF">
              <w:rPr>
                <w:sz w:val="22"/>
                <w:szCs w:val="22"/>
              </w:rPr>
              <w:t>The active moiety of the drug product is identical to that in an FDA drug.</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jc w:val="right"/>
              <w:rPr>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F150D" w:rsidP="00393080">
            <w:pPr>
              <w:rPr>
                <w:sz w:val="22"/>
                <w:szCs w:val="22"/>
              </w:rPr>
            </w:pPr>
            <w:r w:rsidRPr="00B318AF">
              <w:rPr>
                <w:sz w:val="22"/>
                <w:szCs w:val="22"/>
              </w:rPr>
              <w:t>The drug product is not radioactively labeled.</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jc w:val="right"/>
              <w:rPr>
                <w:sz w:val="22"/>
                <w:szCs w:val="22"/>
              </w:rPr>
            </w:pPr>
          </w:p>
        </w:tc>
        <w:tc>
          <w:tcPr>
            <w:tcW w:w="532" w:type="dxa"/>
            <w:tcMar>
              <w:top w:w="29" w:type="dxa"/>
              <w:left w:w="115" w:type="dxa"/>
              <w:bottom w:w="29" w:type="dxa"/>
              <w:right w:w="115" w:type="dxa"/>
            </w:tcMar>
          </w:tcPr>
          <w:p w:rsidR="00D10741" w:rsidRPr="00B318AF" w:rsidRDefault="00D10741" w:rsidP="00653FE0">
            <w:pPr>
              <w:jc w:val="center"/>
              <w:rPr>
                <w:b/>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F150D" w:rsidP="00393080">
            <w:pPr>
              <w:pStyle w:val="BodyText"/>
              <w:tabs>
                <w:tab w:val="left" w:pos="0"/>
              </w:tabs>
              <w:rPr>
                <w:rFonts w:ascii="Times New Roman" w:hAnsi="Times New Roman"/>
                <w:sz w:val="22"/>
                <w:szCs w:val="22"/>
              </w:rPr>
            </w:pPr>
            <w:r w:rsidRPr="00B318AF">
              <w:rPr>
                <w:rFonts w:ascii="Times New Roman" w:hAnsi="Times New Roman"/>
                <w:sz w:val="22"/>
                <w:szCs w:val="22"/>
              </w:rPr>
              <w:t>The drug is not cytotoxic.</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jc w:val="right"/>
              <w:rPr>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F150D" w:rsidP="00393080">
            <w:pPr>
              <w:pStyle w:val="BodyText"/>
              <w:tabs>
                <w:tab w:val="left" w:pos="0"/>
              </w:tabs>
              <w:rPr>
                <w:rFonts w:ascii="Times New Roman" w:hAnsi="Times New Roman"/>
                <w:sz w:val="22"/>
                <w:szCs w:val="22"/>
              </w:rPr>
            </w:pPr>
            <w:r w:rsidRPr="00B318AF">
              <w:rPr>
                <w:rFonts w:ascii="Times New Roman" w:hAnsi="Times New Roman"/>
                <w:sz w:val="22"/>
                <w:szCs w:val="22"/>
              </w:rPr>
              <w:t>The dose (single or daily) does not exceed the dose in the labeling of the approved version of the drug product.</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jc w:val="right"/>
              <w:rPr>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F150D" w:rsidP="00393080">
            <w:pPr>
              <w:pStyle w:val="BodyText"/>
              <w:tabs>
                <w:tab w:val="left" w:pos="360"/>
              </w:tabs>
              <w:rPr>
                <w:rFonts w:ascii="Times New Roman" w:hAnsi="Times New Roman"/>
                <w:sz w:val="22"/>
                <w:szCs w:val="22"/>
              </w:rPr>
            </w:pPr>
            <w:r w:rsidRPr="00B318AF">
              <w:rPr>
                <w:rFonts w:ascii="Times New Roman" w:hAnsi="Times New Roman"/>
                <w:sz w:val="22"/>
                <w:szCs w:val="22"/>
              </w:rPr>
              <w:t>The sponsor meets the requirements for retention of test article samples in 21 CFR 320.31 (d)(1).</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jc w:val="right"/>
              <w:rPr>
                <w:sz w:val="22"/>
                <w:szCs w:val="22"/>
              </w:rPr>
            </w:pPr>
          </w:p>
        </w:tc>
        <w:tc>
          <w:tcPr>
            <w:tcW w:w="10499" w:type="dxa"/>
            <w:gridSpan w:val="2"/>
            <w:tcMar>
              <w:top w:w="29" w:type="dxa"/>
              <w:left w:w="115" w:type="dxa"/>
              <w:bottom w:w="29" w:type="dxa"/>
              <w:right w:w="115" w:type="dxa"/>
            </w:tcMar>
          </w:tcPr>
          <w:p w:rsidR="00D10741" w:rsidRPr="00653FE0" w:rsidRDefault="00D10741" w:rsidP="00653FE0">
            <w:pPr>
              <w:pStyle w:val="BodyText"/>
              <w:tabs>
                <w:tab w:val="left" w:pos="360"/>
              </w:tabs>
              <w:rPr>
                <w:rFonts w:ascii="Times New Roman" w:hAnsi="Times New Roman"/>
                <w:b/>
                <w:sz w:val="22"/>
                <w:szCs w:val="22"/>
              </w:rPr>
            </w:pPr>
            <w:r w:rsidRPr="00653FE0">
              <w:rPr>
                <w:rFonts w:ascii="Times New Roman" w:hAnsi="Times New Roman"/>
                <w:b/>
                <w:sz w:val="22"/>
                <w:szCs w:val="22"/>
              </w:rPr>
              <w:t>Category #5</w:t>
            </w:r>
            <w:r w:rsidR="00C809EB" w:rsidRPr="00653FE0">
              <w:rPr>
                <w:rFonts w:ascii="Times New Roman" w:hAnsi="Times New Roman"/>
                <w:b/>
                <w:sz w:val="22"/>
                <w:szCs w:val="22"/>
              </w:rPr>
              <w:t>:</w:t>
            </w:r>
            <w:r w:rsidR="00653FE0" w:rsidRPr="00653FE0">
              <w:rPr>
                <w:rFonts w:ascii="Times New Roman" w:hAnsi="Times New Roman"/>
                <w:b/>
                <w:sz w:val="22"/>
                <w:szCs w:val="22"/>
              </w:rPr>
              <w:t xml:space="preserve"> Radioactive Drugs for Research Use (21 CFR 321.1)</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rPr>
                <w:sz w:val="22"/>
                <w:szCs w:val="22"/>
              </w:rPr>
            </w:pPr>
          </w:p>
        </w:tc>
        <w:tc>
          <w:tcPr>
            <w:tcW w:w="532" w:type="dxa"/>
            <w:tcMar>
              <w:top w:w="29" w:type="dxa"/>
              <w:left w:w="115" w:type="dxa"/>
              <w:bottom w:w="29" w:type="dxa"/>
              <w:right w:w="115" w:type="dxa"/>
            </w:tcMar>
          </w:tcPr>
          <w:p w:rsidR="00D10741" w:rsidRPr="00D10741" w:rsidRDefault="00D10741"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B6580B">
              <w:rPr>
                <w:sz w:val="22"/>
                <w:szCs w:val="22"/>
              </w:rPr>
            </w:r>
            <w:r w:rsidR="00B6580B">
              <w:rPr>
                <w:sz w:val="22"/>
                <w:szCs w:val="22"/>
              </w:rPr>
              <w:fldChar w:fldCharType="separate"/>
            </w:r>
            <w:r w:rsidRPr="00D10741">
              <w:rPr>
                <w:sz w:val="22"/>
                <w:szCs w:val="22"/>
              </w:rPr>
              <w:fldChar w:fldCharType="end"/>
            </w:r>
          </w:p>
        </w:tc>
        <w:tc>
          <w:tcPr>
            <w:tcW w:w="9967" w:type="dxa"/>
          </w:tcPr>
          <w:p w:rsidR="00D10741" w:rsidRPr="00B318AF" w:rsidRDefault="009F150D" w:rsidP="00393080">
            <w:pPr>
              <w:pStyle w:val="BodyText"/>
              <w:tabs>
                <w:tab w:val="left" w:pos="360"/>
              </w:tabs>
              <w:rPr>
                <w:rFonts w:ascii="Times New Roman" w:hAnsi="Times New Roman"/>
                <w:sz w:val="22"/>
                <w:szCs w:val="22"/>
              </w:rPr>
            </w:pPr>
            <w:r w:rsidRPr="00B318AF">
              <w:rPr>
                <w:rFonts w:ascii="Times New Roman" w:hAnsi="Times New Roman"/>
                <w:sz w:val="22"/>
                <w:szCs w:val="22"/>
              </w:rPr>
              <w:t>The drug has been approved by the Radioactive Drug Research Committee as a radioactive drug for certain research use under the criteria established in 21 CFR 321.1 (b).</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393080">
            <w:pPr>
              <w:tabs>
                <w:tab w:val="left" w:pos="360"/>
              </w:tabs>
              <w:rPr>
                <w:sz w:val="22"/>
                <w:szCs w:val="22"/>
              </w:rPr>
            </w:pPr>
          </w:p>
        </w:tc>
        <w:tc>
          <w:tcPr>
            <w:tcW w:w="10499" w:type="dxa"/>
            <w:gridSpan w:val="2"/>
            <w:tcMar>
              <w:top w:w="29" w:type="dxa"/>
              <w:left w:w="115" w:type="dxa"/>
              <w:bottom w:w="29" w:type="dxa"/>
              <w:right w:w="115" w:type="dxa"/>
            </w:tcMar>
          </w:tcPr>
          <w:p w:rsidR="00D10741" w:rsidRPr="00653FE0" w:rsidRDefault="00D10741" w:rsidP="00653FE0">
            <w:pPr>
              <w:pStyle w:val="BodyText"/>
              <w:tabs>
                <w:tab w:val="left" w:pos="360"/>
              </w:tabs>
              <w:rPr>
                <w:rFonts w:ascii="Times New Roman" w:hAnsi="Times New Roman"/>
                <w:b/>
                <w:sz w:val="22"/>
                <w:szCs w:val="22"/>
              </w:rPr>
            </w:pPr>
            <w:r w:rsidRPr="00653FE0">
              <w:rPr>
                <w:rFonts w:ascii="Times New Roman" w:hAnsi="Times New Roman"/>
                <w:b/>
                <w:sz w:val="22"/>
                <w:szCs w:val="22"/>
              </w:rPr>
              <w:t>Category #6</w:t>
            </w:r>
            <w:r w:rsidR="00C809EB" w:rsidRPr="00653FE0">
              <w:rPr>
                <w:rFonts w:ascii="Times New Roman" w:hAnsi="Times New Roman"/>
                <w:b/>
                <w:sz w:val="22"/>
                <w:szCs w:val="22"/>
              </w:rPr>
              <w:t>:</w:t>
            </w:r>
            <w:r w:rsidR="00653FE0" w:rsidRPr="00653FE0">
              <w:rPr>
                <w:rFonts w:ascii="Times New Roman" w:hAnsi="Times New Roman"/>
                <w:b/>
                <w:sz w:val="22"/>
                <w:szCs w:val="22"/>
              </w:rPr>
              <w:t xml:space="preserve"> Cold Isotopes for Research Use (FDA Enforcement Discretion)</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74EB1" w:rsidP="003D798A">
            <w:pPr>
              <w:pStyle w:val="BodyText"/>
              <w:tabs>
                <w:tab w:val="left" w:pos="360"/>
              </w:tabs>
              <w:rPr>
                <w:rFonts w:ascii="Times New Roman" w:hAnsi="Times New Roman"/>
                <w:sz w:val="22"/>
                <w:szCs w:val="22"/>
              </w:rPr>
            </w:pPr>
            <w:r w:rsidRPr="00B318AF">
              <w:rPr>
                <w:rFonts w:ascii="Times New Roman" w:hAnsi="Times New Roman"/>
                <w:sz w:val="22"/>
                <w:szCs w:val="22"/>
              </w:rPr>
              <w:t>The research is intended to obtain basic information regarding the metabolism (including kinetics, distribution, and localization) of a drug labeled with a cold isotope or regarding human physiology, pathophysiology, or biochemistry.</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B318AF" w:rsidRDefault="00D10741"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9967" w:type="dxa"/>
          </w:tcPr>
          <w:p w:rsidR="00D10741" w:rsidRPr="00B318AF" w:rsidRDefault="00974EB1" w:rsidP="003D798A">
            <w:pPr>
              <w:pStyle w:val="BodyText"/>
              <w:tabs>
                <w:tab w:val="left" w:pos="360"/>
              </w:tabs>
              <w:rPr>
                <w:rFonts w:ascii="Times New Roman" w:hAnsi="Times New Roman"/>
                <w:sz w:val="22"/>
                <w:szCs w:val="22"/>
              </w:rPr>
            </w:pPr>
            <w:r w:rsidRPr="00B318AF">
              <w:rPr>
                <w:rFonts w:ascii="Times New Roman" w:hAnsi="Times New Roman"/>
                <w:sz w:val="22"/>
                <w:szCs w:val="22"/>
              </w:rPr>
              <w:t>The research is not intended for immediate therapeutic, diagnostic, or preventive benefit to the study subject.</w:t>
            </w:r>
          </w:p>
        </w:tc>
      </w:tr>
      <w:tr w:rsidR="00D10741" w:rsidRPr="00D10741" w:rsidTr="00D10741">
        <w:trPr>
          <w:trHeight w:val="216"/>
        </w:trPr>
        <w:tc>
          <w:tcPr>
            <w:tcW w:w="506" w:type="dxa"/>
            <w:vMerge/>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Mar>
              <w:top w:w="29" w:type="dxa"/>
              <w:left w:w="115" w:type="dxa"/>
              <w:bottom w:w="29" w:type="dxa"/>
              <w:right w:w="115" w:type="dxa"/>
            </w:tcMar>
          </w:tcPr>
          <w:p w:rsidR="00D10741" w:rsidRPr="00B318AF" w:rsidRDefault="00D10741" w:rsidP="00BA5EB8">
            <w:pPr>
              <w:pStyle w:val="BodyText"/>
              <w:tabs>
                <w:tab w:val="left" w:pos="360"/>
              </w:tabs>
              <w:jc w:val="center"/>
              <w:rPr>
                <w:rFonts w:ascii="Times New Roman" w:hAnsi="Times New Roman"/>
                <w:sz w:val="22"/>
                <w:szCs w:val="22"/>
              </w:rPr>
            </w:pPr>
            <w:r w:rsidRPr="00B318AF">
              <w:rPr>
                <w:rFonts w:ascii="Times New Roman" w:hAnsi="Times New Roman"/>
                <w:sz w:val="22"/>
                <w:szCs w:val="22"/>
              </w:rPr>
              <w:fldChar w:fldCharType="begin">
                <w:ffData>
                  <w:name w:val="Check1"/>
                  <w:enabled/>
                  <w:calcOnExit w:val="0"/>
                  <w:checkBox>
                    <w:sizeAuto/>
                    <w:default w:val="0"/>
                  </w:checkBox>
                </w:ffData>
              </w:fldChar>
            </w:r>
            <w:r w:rsidRPr="00B318AF">
              <w:rPr>
                <w:rFonts w:ascii="Times New Roman" w:hAnsi="Times New Roman"/>
                <w:sz w:val="22"/>
                <w:szCs w:val="22"/>
              </w:rPr>
              <w:instrText xml:space="preserve"> FORMCHECKBOX </w:instrText>
            </w:r>
            <w:r w:rsidR="00B6580B">
              <w:rPr>
                <w:rFonts w:ascii="Times New Roman" w:hAnsi="Times New Roman"/>
                <w:sz w:val="22"/>
                <w:szCs w:val="22"/>
              </w:rPr>
            </w:r>
            <w:r w:rsidR="00B6580B">
              <w:rPr>
                <w:rFonts w:ascii="Times New Roman" w:hAnsi="Times New Roman"/>
                <w:sz w:val="22"/>
                <w:szCs w:val="22"/>
              </w:rPr>
              <w:fldChar w:fldCharType="separate"/>
            </w:r>
            <w:r w:rsidRPr="00B318AF">
              <w:rPr>
                <w:rFonts w:ascii="Times New Roman" w:hAnsi="Times New Roman"/>
                <w:sz w:val="22"/>
                <w:szCs w:val="22"/>
              </w:rPr>
              <w:fldChar w:fldCharType="end"/>
            </w:r>
          </w:p>
        </w:tc>
        <w:tc>
          <w:tcPr>
            <w:tcW w:w="9967" w:type="dxa"/>
          </w:tcPr>
          <w:p w:rsidR="00D10741" w:rsidRPr="00B318AF" w:rsidRDefault="00974EB1" w:rsidP="003D798A">
            <w:pPr>
              <w:pStyle w:val="BodyText"/>
              <w:tabs>
                <w:tab w:val="left" w:pos="360"/>
              </w:tabs>
              <w:rPr>
                <w:rFonts w:ascii="Times New Roman" w:hAnsi="Times New Roman"/>
                <w:sz w:val="22"/>
                <w:szCs w:val="22"/>
              </w:rPr>
            </w:pPr>
            <w:r w:rsidRPr="00B318AF">
              <w:rPr>
                <w:rFonts w:ascii="Times New Roman" w:hAnsi="Times New Roman"/>
                <w:sz w:val="22"/>
                <w:szCs w:val="22"/>
              </w:rPr>
              <w:t>The dose to be administered is known not to cause any clinically detectable pharmacologic effect in humans based on clinical data from published literature or other valid human studies.</w:t>
            </w:r>
          </w:p>
        </w:tc>
      </w:tr>
      <w:tr w:rsidR="00D10741" w:rsidRPr="00D10741" w:rsidTr="00917C8B">
        <w:trPr>
          <w:trHeight w:val="216"/>
        </w:trPr>
        <w:tc>
          <w:tcPr>
            <w:tcW w:w="506" w:type="dxa"/>
            <w:vMerge/>
            <w:tcBorders>
              <w:bottom w:val="single" w:sz="4" w:space="0" w:color="auto"/>
            </w:tcBorders>
            <w:shd w:val="clear" w:color="auto" w:fill="262626" w:themeFill="text1" w:themeFillTint="D9"/>
            <w:tcMar>
              <w:top w:w="29" w:type="dxa"/>
              <w:left w:w="115" w:type="dxa"/>
              <w:bottom w:w="29" w:type="dxa"/>
              <w:right w:w="115" w:type="dxa"/>
            </w:tcMar>
          </w:tcPr>
          <w:p w:rsidR="00D10741" w:rsidRPr="00D10741" w:rsidRDefault="00D10741" w:rsidP="00AE5283">
            <w:pPr>
              <w:tabs>
                <w:tab w:val="left" w:pos="360"/>
              </w:tabs>
              <w:rPr>
                <w:sz w:val="22"/>
                <w:szCs w:val="22"/>
              </w:rPr>
            </w:pPr>
          </w:p>
        </w:tc>
        <w:tc>
          <w:tcPr>
            <w:tcW w:w="532" w:type="dxa"/>
            <w:tcBorders>
              <w:bottom w:val="single" w:sz="4" w:space="0" w:color="auto"/>
            </w:tcBorders>
            <w:tcMar>
              <w:top w:w="29" w:type="dxa"/>
              <w:left w:w="115" w:type="dxa"/>
              <w:bottom w:w="29" w:type="dxa"/>
              <w:right w:w="115" w:type="dxa"/>
            </w:tcMar>
          </w:tcPr>
          <w:p w:rsidR="00D10741" w:rsidRPr="00B318AF" w:rsidRDefault="00D10741" w:rsidP="00BA5EB8">
            <w:pPr>
              <w:pStyle w:val="BodyText"/>
              <w:tabs>
                <w:tab w:val="left" w:pos="360"/>
              </w:tabs>
              <w:jc w:val="center"/>
              <w:rPr>
                <w:rFonts w:ascii="Times New Roman" w:hAnsi="Times New Roman"/>
                <w:sz w:val="22"/>
                <w:szCs w:val="22"/>
              </w:rPr>
            </w:pPr>
            <w:r w:rsidRPr="00B318AF">
              <w:rPr>
                <w:rFonts w:ascii="Times New Roman" w:hAnsi="Times New Roman"/>
                <w:sz w:val="22"/>
                <w:szCs w:val="22"/>
              </w:rPr>
              <w:fldChar w:fldCharType="begin">
                <w:ffData>
                  <w:name w:val="Check1"/>
                  <w:enabled/>
                  <w:calcOnExit w:val="0"/>
                  <w:checkBox>
                    <w:sizeAuto/>
                    <w:default w:val="0"/>
                  </w:checkBox>
                </w:ffData>
              </w:fldChar>
            </w:r>
            <w:r w:rsidRPr="00B318AF">
              <w:rPr>
                <w:rFonts w:ascii="Times New Roman" w:hAnsi="Times New Roman"/>
                <w:sz w:val="22"/>
                <w:szCs w:val="22"/>
              </w:rPr>
              <w:instrText xml:space="preserve"> FORMCHECKBOX </w:instrText>
            </w:r>
            <w:r w:rsidR="00B6580B">
              <w:rPr>
                <w:rFonts w:ascii="Times New Roman" w:hAnsi="Times New Roman"/>
                <w:sz w:val="22"/>
                <w:szCs w:val="22"/>
              </w:rPr>
            </w:r>
            <w:r w:rsidR="00B6580B">
              <w:rPr>
                <w:rFonts w:ascii="Times New Roman" w:hAnsi="Times New Roman"/>
                <w:sz w:val="22"/>
                <w:szCs w:val="22"/>
              </w:rPr>
              <w:fldChar w:fldCharType="separate"/>
            </w:r>
            <w:r w:rsidRPr="00B318AF">
              <w:rPr>
                <w:rFonts w:ascii="Times New Roman" w:hAnsi="Times New Roman"/>
                <w:sz w:val="22"/>
                <w:szCs w:val="22"/>
              </w:rPr>
              <w:fldChar w:fldCharType="end"/>
            </w:r>
          </w:p>
        </w:tc>
        <w:tc>
          <w:tcPr>
            <w:tcW w:w="9967" w:type="dxa"/>
            <w:tcBorders>
              <w:bottom w:val="single" w:sz="4" w:space="0" w:color="auto"/>
            </w:tcBorders>
          </w:tcPr>
          <w:p w:rsidR="00D10741" w:rsidRPr="00B318AF" w:rsidRDefault="00974EB1" w:rsidP="003D798A">
            <w:pPr>
              <w:pStyle w:val="BodyText"/>
              <w:tabs>
                <w:tab w:val="left" w:pos="360"/>
              </w:tabs>
              <w:rPr>
                <w:rFonts w:ascii="Times New Roman" w:hAnsi="Times New Roman"/>
                <w:sz w:val="22"/>
                <w:szCs w:val="22"/>
              </w:rPr>
            </w:pPr>
            <w:r w:rsidRPr="00B318AF">
              <w:rPr>
                <w:rFonts w:ascii="Times New Roman" w:hAnsi="Times New Roman"/>
                <w:sz w:val="22"/>
                <w:szCs w:val="22"/>
              </w:rPr>
              <w:t>The quality of the cold isotope meets relevant quality standard.</w:t>
            </w:r>
          </w:p>
        </w:tc>
      </w:tr>
      <w:tr w:rsidR="00917C8B" w:rsidRPr="00D10741" w:rsidTr="00917C8B">
        <w:trPr>
          <w:trHeight w:val="216"/>
        </w:trPr>
        <w:tc>
          <w:tcPr>
            <w:tcW w:w="11005" w:type="dxa"/>
            <w:gridSpan w:val="3"/>
            <w:tcBorders>
              <w:top w:val="single" w:sz="4" w:space="0" w:color="auto"/>
              <w:bottom w:val="single" w:sz="4" w:space="0" w:color="auto"/>
            </w:tcBorders>
            <w:shd w:val="clear" w:color="auto" w:fill="FFFFFF" w:themeFill="background1"/>
            <w:tcMar>
              <w:top w:w="29" w:type="dxa"/>
              <w:left w:w="115" w:type="dxa"/>
              <w:bottom w:w="29" w:type="dxa"/>
              <w:right w:w="115" w:type="dxa"/>
            </w:tcMar>
          </w:tcPr>
          <w:p w:rsidR="00917C8B" w:rsidRPr="00917C8B" w:rsidRDefault="00917C8B" w:rsidP="00917C8B">
            <w:pPr>
              <w:rPr>
                <w:b/>
                <w:sz w:val="22"/>
                <w:szCs w:val="22"/>
              </w:rPr>
            </w:pPr>
            <w:r>
              <w:rPr>
                <w:b/>
                <w:sz w:val="22"/>
                <w:szCs w:val="22"/>
              </w:rPr>
              <w:t>6 – Oversight for Investigators who hold the IND</w:t>
            </w:r>
          </w:p>
        </w:tc>
      </w:tr>
      <w:tr w:rsidR="00917C8B" w:rsidRPr="00D10741" w:rsidTr="00917C8B">
        <w:trPr>
          <w:trHeight w:val="216"/>
        </w:trPr>
        <w:tc>
          <w:tcPr>
            <w:tcW w:w="506" w:type="dxa"/>
            <w:tcBorders>
              <w:top w:val="single" w:sz="4" w:space="0" w:color="auto"/>
              <w:bottom w:val="single" w:sz="4" w:space="0" w:color="auto"/>
            </w:tcBorders>
            <w:shd w:val="clear" w:color="auto" w:fill="FFFFFF" w:themeFill="background1"/>
            <w:tcMar>
              <w:top w:w="29" w:type="dxa"/>
              <w:left w:w="115" w:type="dxa"/>
              <w:bottom w:w="29" w:type="dxa"/>
              <w:right w:w="115" w:type="dxa"/>
            </w:tcMar>
          </w:tcPr>
          <w:p w:rsidR="00917C8B" w:rsidRDefault="00917C8B" w:rsidP="00917C8B">
            <w:pPr>
              <w:rPr>
                <w:b/>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B6580B">
              <w:rPr>
                <w:sz w:val="22"/>
                <w:szCs w:val="22"/>
              </w:rPr>
            </w:r>
            <w:r w:rsidR="00B6580B">
              <w:rPr>
                <w:sz w:val="22"/>
                <w:szCs w:val="22"/>
              </w:rPr>
              <w:fldChar w:fldCharType="separate"/>
            </w:r>
            <w:r w:rsidRPr="00B318AF">
              <w:rPr>
                <w:sz w:val="22"/>
                <w:szCs w:val="22"/>
              </w:rPr>
              <w:fldChar w:fldCharType="end"/>
            </w:r>
          </w:p>
        </w:tc>
        <w:tc>
          <w:tcPr>
            <w:tcW w:w="10499" w:type="dxa"/>
            <w:gridSpan w:val="2"/>
            <w:tcBorders>
              <w:top w:val="single" w:sz="4" w:space="0" w:color="auto"/>
              <w:bottom w:val="single" w:sz="4" w:space="0" w:color="auto"/>
            </w:tcBorders>
            <w:shd w:val="clear" w:color="auto" w:fill="FFFFFF" w:themeFill="background1"/>
          </w:tcPr>
          <w:p w:rsidR="00917C8B" w:rsidRDefault="00917C8B" w:rsidP="00917C8B">
            <w:pPr>
              <w:rPr>
                <w:b/>
                <w:sz w:val="22"/>
                <w:szCs w:val="22"/>
              </w:rPr>
            </w:pPr>
            <w:r w:rsidRPr="00506013">
              <w:rPr>
                <w:sz w:val="22"/>
                <w:szCs w:val="22"/>
              </w:rPr>
              <w:t xml:space="preserve">Investigators are </w:t>
            </w:r>
            <w:r>
              <w:rPr>
                <w:sz w:val="22"/>
                <w:szCs w:val="22"/>
              </w:rPr>
              <w:t>meeting</w:t>
            </w:r>
            <w:r w:rsidRPr="00506013">
              <w:rPr>
                <w:sz w:val="22"/>
                <w:szCs w:val="22"/>
              </w:rPr>
              <w:t xml:space="preserve"> </w:t>
            </w:r>
            <w:hyperlink r:id="rId8" w:history="1">
              <w:r w:rsidRPr="00506013">
                <w:rPr>
                  <w:rStyle w:val="Hyperlink"/>
                  <w:color w:val="auto"/>
                </w:rPr>
                <w:t>additional FDA requirements</w:t>
              </w:r>
            </w:hyperlink>
            <w:bookmarkStart w:id="0" w:name="_GoBack"/>
            <w:bookmarkEnd w:id="0"/>
            <w:r w:rsidRPr="00506013">
              <w:rPr>
                <w:sz w:val="22"/>
                <w:szCs w:val="22"/>
              </w:rPr>
              <w:t xml:space="preserve"> </w:t>
            </w:r>
            <w:r>
              <w:rPr>
                <w:sz w:val="22"/>
                <w:szCs w:val="22"/>
              </w:rPr>
              <w:t>when taking on the role of sponsor investigator (holding an IND)</w:t>
            </w:r>
            <w:r w:rsidRPr="00506013">
              <w:rPr>
                <w:sz w:val="22"/>
                <w:szCs w:val="22"/>
              </w:rPr>
              <w:t>.</w:t>
            </w:r>
          </w:p>
        </w:tc>
      </w:tr>
    </w:tbl>
    <w:p w:rsidR="008A1788" w:rsidRDefault="008A1788" w:rsidP="00316F7F">
      <w:pPr>
        <w:rPr>
          <w:b/>
          <w:color w:val="FF0000"/>
        </w:rPr>
      </w:pPr>
    </w:p>
    <w:sectPr w:rsidR="008A1788" w:rsidSect="00D10741">
      <w:footerReference w:type="default" r:id="rId9"/>
      <w:pgSz w:w="12240" w:h="15840" w:code="1"/>
      <w:pgMar w:top="1080" w:right="720" w:bottom="864"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E0" w:rsidRDefault="00D007E0" w:rsidP="00FB4D64">
      <w:r>
        <w:separator/>
      </w:r>
    </w:p>
  </w:endnote>
  <w:endnote w:type="continuationSeparator" w:id="0">
    <w:p w:rsidR="00D007E0" w:rsidRDefault="00D007E0" w:rsidP="00FB4D64">
      <w:r>
        <w:continuationSeparator/>
      </w:r>
    </w:p>
  </w:endnote>
  <w:endnote w:id="1">
    <w:p w:rsidR="00DB0246" w:rsidRDefault="00430205" w:rsidP="00DB0246">
      <w:pPr>
        <w:pStyle w:val="EndnoteText"/>
      </w:pPr>
      <w:r>
        <w:rPr>
          <w:rStyle w:val="EndnoteReference"/>
        </w:rPr>
        <w:endnoteRef/>
      </w:r>
      <w:r>
        <w:t xml:space="preserve"> </w:t>
      </w:r>
      <w:r w:rsidR="00DB0246">
        <w:t>This is specific to submissions that are part of an application for a research or marketing permit. However, unless otherwise indicated, assume all submissions to the FDA meet this requirement.</w:t>
      </w:r>
    </w:p>
  </w:endnote>
  <w:endnote w:id="2">
    <w:p w:rsidR="00DB0246" w:rsidRDefault="00522280" w:rsidP="00DB0246">
      <w:pPr>
        <w:pStyle w:val="EndnoteText"/>
      </w:pPr>
      <w:r>
        <w:rPr>
          <w:rStyle w:val="EndnoteReference"/>
        </w:rPr>
        <w:endnoteRef/>
      </w:r>
      <w:r>
        <w:t xml:space="preserve"> </w:t>
      </w:r>
      <w:r w:rsidR="00DB0246">
        <w:t>The term “drug” means the following:</w:t>
      </w:r>
    </w:p>
    <w:p w:rsidR="00DB0246" w:rsidRDefault="00DB0246" w:rsidP="00DB0246">
      <w:pPr>
        <w:pStyle w:val="EndnoteText"/>
        <w:numPr>
          <w:ilvl w:val="0"/>
          <w:numId w:val="9"/>
        </w:numPr>
      </w:pPr>
      <w:r>
        <w:t>Articles recognized in the official United States Pharmacopoeia, official Homoeopathic Pharmacopoeia of the United States, or official National Formulary, or any supplement to any of them; and</w:t>
      </w:r>
    </w:p>
    <w:p w:rsidR="00DB0246" w:rsidRDefault="00DB0246" w:rsidP="00DB0246">
      <w:pPr>
        <w:pStyle w:val="EndnoteText"/>
        <w:numPr>
          <w:ilvl w:val="0"/>
          <w:numId w:val="9"/>
        </w:numPr>
      </w:pPr>
      <w:r>
        <w:t>Articles intended for use in the diagnosis, cure, mitigation, treatment, or prevention of disease in man or other animals; and</w:t>
      </w:r>
    </w:p>
    <w:p w:rsidR="00DB0246" w:rsidRDefault="00DB0246" w:rsidP="00DB0246">
      <w:pPr>
        <w:pStyle w:val="EndnoteText"/>
        <w:numPr>
          <w:ilvl w:val="0"/>
          <w:numId w:val="9"/>
        </w:numPr>
      </w:pPr>
      <w:r>
        <w:t xml:space="preserve">Articles (other than food and dietary supplements) intended to affect the structure or any function of the body of man or other animals; and </w:t>
      </w:r>
    </w:p>
    <w:p w:rsidR="00522280" w:rsidRDefault="00DB0246" w:rsidP="00DB0246">
      <w:pPr>
        <w:pStyle w:val="EndnoteText"/>
        <w:numPr>
          <w:ilvl w:val="0"/>
          <w:numId w:val="9"/>
        </w:numPr>
      </w:pPr>
      <w:r>
        <w:t>Articles intended for use as a component of any article specified in clause (A), (B), or (C).</w:t>
      </w:r>
    </w:p>
  </w:endnote>
  <w:endnote w:id="3">
    <w:p w:rsidR="00430205" w:rsidRDefault="00430205" w:rsidP="00430205">
      <w:pPr>
        <w:pStyle w:val="EndnoteText"/>
      </w:pPr>
      <w:r>
        <w:rPr>
          <w:rStyle w:val="EndnoteReference"/>
        </w:rPr>
        <w:endnoteRef/>
      </w:r>
      <w:r>
        <w:t xml:space="preserve"> </w:t>
      </w:r>
      <w:r w:rsidR="00347937">
        <w:t xml:space="preserve">This refers to a practitioner providing an approved drug to a patient because the practitioner believes the drug to be </w:t>
      </w:r>
      <w:r w:rsidR="008C628D">
        <w:t>in the best interests of a patient. If the protocol specified the use of the drug, it is not in the course of medical practice unless the use of the drug is entirely up to the discretion of the practitioner.</w:t>
      </w:r>
    </w:p>
  </w:endnote>
  <w:endnote w:id="4">
    <w:p w:rsidR="009F150D" w:rsidRDefault="009F150D">
      <w:pPr>
        <w:pStyle w:val="EndnoteText"/>
      </w:pPr>
      <w:r>
        <w:rPr>
          <w:rStyle w:val="EndnoteReference"/>
        </w:rPr>
        <w:endnoteRef/>
      </w:r>
      <w:r>
        <w:t xml:space="preserve"> </w:t>
      </w:r>
      <w:r w:rsidR="008C628D">
        <w:t>In vitro diagnostic (IVD) products are 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Public Health Service Act and may also be biological products subject to section 351 of the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55" w:rsidRDefault="009B5E55">
    <w:pPr>
      <w:pStyle w:val="Footer"/>
    </w:pPr>
    <w:r>
      <w:t xml:space="preserve">Version Date:  </w:t>
    </w:r>
    <w:r w:rsidR="009E680A">
      <w:t>7/2014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E0" w:rsidRDefault="00D007E0" w:rsidP="00FB4D64">
      <w:r>
        <w:separator/>
      </w:r>
    </w:p>
  </w:footnote>
  <w:footnote w:type="continuationSeparator" w:id="0">
    <w:p w:rsidR="00D007E0" w:rsidRDefault="00D007E0" w:rsidP="00FB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186"/>
    <w:multiLevelType w:val="hybridMultilevel"/>
    <w:tmpl w:val="88268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430891"/>
    <w:multiLevelType w:val="hybridMultilevel"/>
    <w:tmpl w:val="9D369B0A"/>
    <w:lvl w:ilvl="0" w:tplc="B6CC2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A924E2F"/>
    <w:multiLevelType w:val="hybridMultilevel"/>
    <w:tmpl w:val="2F72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16AED"/>
    <w:multiLevelType w:val="hybridMultilevel"/>
    <w:tmpl w:val="9D369B0A"/>
    <w:lvl w:ilvl="0" w:tplc="B6CC2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16CCC"/>
    <w:multiLevelType w:val="hybridMultilevel"/>
    <w:tmpl w:val="C1AEB2B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8" w15:restartNumberingAfterBreak="0">
    <w:nsid w:val="77F66C5A"/>
    <w:multiLevelType w:val="hybridMultilevel"/>
    <w:tmpl w:val="FA3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72A7A"/>
    <w:multiLevelType w:val="hybridMultilevel"/>
    <w:tmpl w:val="34B8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0"/>
  </w:num>
  <w:num w:numId="6">
    <w:abstractNumId w:val="3"/>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3"/>
    <w:rsid w:val="00004C7A"/>
    <w:rsid w:val="000113F1"/>
    <w:rsid w:val="00013162"/>
    <w:rsid w:val="000339B3"/>
    <w:rsid w:val="00036810"/>
    <w:rsid w:val="000504EF"/>
    <w:rsid w:val="00055087"/>
    <w:rsid w:val="0006119C"/>
    <w:rsid w:val="00072276"/>
    <w:rsid w:val="000A0D16"/>
    <w:rsid w:val="000D5C28"/>
    <w:rsid w:val="000E2516"/>
    <w:rsid w:val="001139C3"/>
    <w:rsid w:val="00132766"/>
    <w:rsid w:val="0015191C"/>
    <w:rsid w:val="00160ACD"/>
    <w:rsid w:val="00195D82"/>
    <w:rsid w:val="001A11C5"/>
    <w:rsid w:val="001A4236"/>
    <w:rsid w:val="001B339F"/>
    <w:rsid w:val="001B77DF"/>
    <w:rsid w:val="001D0788"/>
    <w:rsid w:val="001E1A9B"/>
    <w:rsid w:val="001E40D7"/>
    <w:rsid w:val="001E5B66"/>
    <w:rsid w:val="001F60D7"/>
    <w:rsid w:val="0022340B"/>
    <w:rsid w:val="00226704"/>
    <w:rsid w:val="00232828"/>
    <w:rsid w:val="00237647"/>
    <w:rsid w:val="00240025"/>
    <w:rsid w:val="002E64D8"/>
    <w:rsid w:val="002E6F4A"/>
    <w:rsid w:val="00313B10"/>
    <w:rsid w:val="00316F7F"/>
    <w:rsid w:val="003337F5"/>
    <w:rsid w:val="00340193"/>
    <w:rsid w:val="00347937"/>
    <w:rsid w:val="00361205"/>
    <w:rsid w:val="0036541A"/>
    <w:rsid w:val="003974FB"/>
    <w:rsid w:val="003A50B6"/>
    <w:rsid w:val="003C09E6"/>
    <w:rsid w:val="003D798A"/>
    <w:rsid w:val="003F226C"/>
    <w:rsid w:val="0040460B"/>
    <w:rsid w:val="00416AB0"/>
    <w:rsid w:val="00420EDE"/>
    <w:rsid w:val="00430205"/>
    <w:rsid w:val="004418CA"/>
    <w:rsid w:val="00471656"/>
    <w:rsid w:val="004814BD"/>
    <w:rsid w:val="00481A92"/>
    <w:rsid w:val="004977D3"/>
    <w:rsid w:val="004A0F51"/>
    <w:rsid w:val="004B1B6B"/>
    <w:rsid w:val="004C062A"/>
    <w:rsid w:val="004C570B"/>
    <w:rsid w:val="004E4E04"/>
    <w:rsid w:val="00522280"/>
    <w:rsid w:val="005242E0"/>
    <w:rsid w:val="0052636E"/>
    <w:rsid w:val="005626CE"/>
    <w:rsid w:val="005737E0"/>
    <w:rsid w:val="00575676"/>
    <w:rsid w:val="005920AA"/>
    <w:rsid w:val="005A3968"/>
    <w:rsid w:val="005A6ACA"/>
    <w:rsid w:val="00653FE0"/>
    <w:rsid w:val="0066748F"/>
    <w:rsid w:val="006701B1"/>
    <w:rsid w:val="00673DB5"/>
    <w:rsid w:val="00677A11"/>
    <w:rsid w:val="006B130B"/>
    <w:rsid w:val="006C4F8D"/>
    <w:rsid w:val="006D49A6"/>
    <w:rsid w:val="006E4387"/>
    <w:rsid w:val="0073707A"/>
    <w:rsid w:val="0076237D"/>
    <w:rsid w:val="0077771A"/>
    <w:rsid w:val="00780BB2"/>
    <w:rsid w:val="0078128E"/>
    <w:rsid w:val="007A3C30"/>
    <w:rsid w:val="007C2D33"/>
    <w:rsid w:val="00826D82"/>
    <w:rsid w:val="00862485"/>
    <w:rsid w:val="00871A84"/>
    <w:rsid w:val="00877C44"/>
    <w:rsid w:val="00886CCF"/>
    <w:rsid w:val="00890AE2"/>
    <w:rsid w:val="008A1788"/>
    <w:rsid w:val="008B6833"/>
    <w:rsid w:val="008C075E"/>
    <w:rsid w:val="008C628D"/>
    <w:rsid w:val="008D012F"/>
    <w:rsid w:val="008D787C"/>
    <w:rsid w:val="00904E26"/>
    <w:rsid w:val="00917C8B"/>
    <w:rsid w:val="0097172A"/>
    <w:rsid w:val="00974EB1"/>
    <w:rsid w:val="00990119"/>
    <w:rsid w:val="00997F24"/>
    <w:rsid w:val="009B5E55"/>
    <w:rsid w:val="009C227A"/>
    <w:rsid w:val="009E680A"/>
    <w:rsid w:val="009F150D"/>
    <w:rsid w:val="00A0396D"/>
    <w:rsid w:val="00A1131B"/>
    <w:rsid w:val="00A209DB"/>
    <w:rsid w:val="00A44F64"/>
    <w:rsid w:val="00A54BF0"/>
    <w:rsid w:val="00AC015F"/>
    <w:rsid w:val="00AC71AD"/>
    <w:rsid w:val="00AE5283"/>
    <w:rsid w:val="00B16CAB"/>
    <w:rsid w:val="00B20E91"/>
    <w:rsid w:val="00B27586"/>
    <w:rsid w:val="00B318AF"/>
    <w:rsid w:val="00B32BAF"/>
    <w:rsid w:val="00B33228"/>
    <w:rsid w:val="00B6580B"/>
    <w:rsid w:val="00BA5EB8"/>
    <w:rsid w:val="00BA6624"/>
    <w:rsid w:val="00BD283B"/>
    <w:rsid w:val="00BF6CDA"/>
    <w:rsid w:val="00C07764"/>
    <w:rsid w:val="00C23FA8"/>
    <w:rsid w:val="00C31777"/>
    <w:rsid w:val="00C631AB"/>
    <w:rsid w:val="00C71D48"/>
    <w:rsid w:val="00C809EB"/>
    <w:rsid w:val="00C96951"/>
    <w:rsid w:val="00D007E0"/>
    <w:rsid w:val="00D10741"/>
    <w:rsid w:val="00D10D47"/>
    <w:rsid w:val="00D13CAA"/>
    <w:rsid w:val="00D218FA"/>
    <w:rsid w:val="00D52A7A"/>
    <w:rsid w:val="00D66F91"/>
    <w:rsid w:val="00D76A8E"/>
    <w:rsid w:val="00D856B7"/>
    <w:rsid w:val="00D87524"/>
    <w:rsid w:val="00DA4CB1"/>
    <w:rsid w:val="00DB0246"/>
    <w:rsid w:val="00DD3AD5"/>
    <w:rsid w:val="00DE4567"/>
    <w:rsid w:val="00DF145C"/>
    <w:rsid w:val="00DF2B2A"/>
    <w:rsid w:val="00DF6E86"/>
    <w:rsid w:val="00E142A6"/>
    <w:rsid w:val="00E21787"/>
    <w:rsid w:val="00E21AC4"/>
    <w:rsid w:val="00EB1C84"/>
    <w:rsid w:val="00EC3D04"/>
    <w:rsid w:val="00EE231B"/>
    <w:rsid w:val="00F31BB4"/>
    <w:rsid w:val="00F323C7"/>
    <w:rsid w:val="00F44FE3"/>
    <w:rsid w:val="00F62DA6"/>
    <w:rsid w:val="00F630BC"/>
    <w:rsid w:val="00F8710A"/>
    <w:rsid w:val="00F943C4"/>
    <w:rsid w:val="00FB3F09"/>
    <w:rsid w:val="00FB4D64"/>
    <w:rsid w:val="00FB5261"/>
    <w:rsid w:val="00FC4800"/>
    <w:rsid w:val="00FC7A6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760662-DA89-4E9F-9603-FD876CEE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link w:val="BodyTextChar"/>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ChecklistLevel1">
    <w:name w:val="Checklist Level 1"/>
    <w:basedOn w:val="Normal"/>
    <w:rsid w:val="005A3968"/>
    <w:pPr>
      <w:numPr>
        <w:numId w:val="6"/>
      </w:numPr>
      <w:tabs>
        <w:tab w:val="clear" w:pos="720"/>
        <w:tab w:val="num" w:pos="360"/>
      </w:tabs>
      <w:ind w:left="360" w:hanging="360"/>
    </w:pPr>
    <w:rPr>
      <w:rFonts w:ascii="Arial Narrow" w:hAnsi="Arial Narrow"/>
      <w:b/>
      <w:sz w:val="20"/>
    </w:rPr>
  </w:style>
  <w:style w:type="paragraph" w:customStyle="1" w:styleId="ChecklistLevel2">
    <w:name w:val="Checklist Level 2"/>
    <w:basedOn w:val="ChecklistLevel1"/>
    <w:rsid w:val="005A3968"/>
    <w:pPr>
      <w:numPr>
        <w:ilvl w:val="1"/>
      </w:numPr>
      <w:tabs>
        <w:tab w:val="clear" w:pos="1080"/>
        <w:tab w:val="left" w:pos="720"/>
      </w:tabs>
      <w:ind w:left="720"/>
    </w:pPr>
    <w:rPr>
      <w:b w:val="0"/>
    </w:rPr>
  </w:style>
  <w:style w:type="paragraph" w:customStyle="1" w:styleId="ChecklistLevel3">
    <w:name w:val="Checklist Level 3"/>
    <w:basedOn w:val="ChecklistLevel2"/>
    <w:rsid w:val="005A3968"/>
    <w:pPr>
      <w:numPr>
        <w:ilvl w:val="2"/>
      </w:numPr>
      <w:tabs>
        <w:tab w:val="clear" w:pos="720"/>
        <w:tab w:val="clear" w:pos="2448"/>
        <w:tab w:val="left" w:pos="1728"/>
      </w:tabs>
      <w:ind w:left="1728"/>
    </w:pPr>
  </w:style>
  <w:style w:type="paragraph" w:customStyle="1" w:styleId="ChecklistLevel4">
    <w:name w:val="Checklist Level 4"/>
    <w:basedOn w:val="ChecklistLevel3"/>
    <w:rsid w:val="005A3968"/>
    <w:pPr>
      <w:numPr>
        <w:ilvl w:val="3"/>
      </w:numPr>
      <w:tabs>
        <w:tab w:val="clear" w:pos="1728"/>
        <w:tab w:val="clear" w:pos="3744"/>
        <w:tab w:val="left" w:pos="3024"/>
      </w:tabs>
      <w:ind w:left="3024"/>
    </w:pPr>
  </w:style>
  <w:style w:type="paragraph" w:customStyle="1" w:styleId="StatementLevel1">
    <w:name w:val="Statement Level 1"/>
    <w:basedOn w:val="Normal"/>
    <w:link w:val="StatementLevel1Char"/>
    <w:rsid w:val="005A3968"/>
    <w:rPr>
      <w:rFonts w:ascii="Arial Narrow" w:hAnsi="Arial Narrow"/>
      <w:sz w:val="20"/>
    </w:rPr>
  </w:style>
  <w:style w:type="character" w:customStyle="1" w:styleId="StatementLevel1Char">
    <w:name w:val="Statement Level 1 Char"/>
    <w:link w:val="StatementLevel1"/>
    <w:rsid w:val="005A3968"/>
    <w:rPr>
      <w:rFonts w:ascii="Arial Narrow" w:hAnsi="Arial Narrow"/>
      <w:szCs w:val="24"/>
    </w:rPr>
  </w:style>
  <w:style w:type="paragraph" w:styleId="FootnoteText">
    <w:name w:val="footnote text"/>
    <w:basedOn w:val="Normal"/>
    <w:link w:val="FootnoteTextChar"/>
    <w:rsid w:val="00997F24"/>
    <w:rPr>
      <w:sz w:val="20"/>
      <w:szCs w:val="20"/>
    </w:rPr>
  </w:style>
  <w:style w:type="character" w:customStyle="1" w:styleId="FootnoteTextChar">
    <w:name w:val="Footnote Text Char"/>
    <w:basedOn w:val="DefaultParagraphFont"/>
    <w:link w:val="FootnoteText"/>
    <w:rsid w:val="00997F24"/>
  </w:style>
  <w:style w:type="character" w:styleId="FootnoteReference">
    <w:name w:val="footnote reference"/>
    <w:basedOn w:val="DefaultParagraphFont"/>
    <w:rsid w:val="00997F24"/>
    <w:rPr>
      <w:vertAlign w:val="superscript"/>
    </w:rPr>
  </w:style>
  <w:style w:type="character" w:customStyle="1" w:styleId="BodyTextChar">
    <w:name w:val="Body Text Char"/>
    <w:basedOn w:val="DefaultParagraphFont"/>
    <w:link w:val="BodyText"/>
    <w:rsid w:val="00917C8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1081">
      <w:bodyDiv w:val="1"/>
      <w:marLeft w:val="0"/>
      <w:marRight w:val="0"/>
      <w:marTop w:val="0"/>
      <w:marBottom w:val="0"/>
      <w:divBdr>
        <w:top w:val="none" w:sz="0" w:space="0" w:color="auto"/>
        <w:left w:val="none" w:sz="0" w:space="0" w:color="auto"/>
        <w:bottom w:val="none" w:sz="0" w:space="0" w:color="auto"/>
        <w:right w:val="none" w:sz="0" w:space="0" w:color="auto"/>
      </w:divBdr>
    </w:div>
    <w:div w:id="18871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irb_assets/additional_criteria_checklist_sponsor_investigator_responsibiliti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og\AppData\Roaming\Microsoft\Templates\Checklist%20for%20managing%20telework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8F04-6849-4C27-B0FE-EE2DEB16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managing teleworkers</Template>
  <TotalTime>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 Hoog</dc:creator>
  <cp:lastModifiedBy>Maureen Bresnahan</cp:lastModifiedBy>
  <cp:revision>4</cp:revision>
  <cp:lastPrinted>2013-07-30T19:31:00Z</cp:lastPrinted>
  <dcterms:created xsi:type="dcterms:W3CDTF">2014-06-25T21:38:00Z</dcterms:created>
  <dcterms:modified xsi:type="dcterms:W3CDTF">2018-08-09T16:03:00Z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TC100354331033</vt:lpwstr>
  </property>
</Properties>
</file>