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AC" w:rsidRDefault="005B6AAC" w:rsidP="005B6AAC">
      <w:pPr>
        <w:jc w:val="center"/>
        <w:rPr>
          <w:b/>
        </w:rPr>
      </w:pPr>
      <w:bookmarkStart w:id="0" w:name="_GoBack"/>
      <w:bookmarkEnd w:id="0"/>
      <w:r w:rsidRPr="00A35944">
        <w:rPr>
          <w:b/>
        </w:rPr>
        <w:t xml:space="preserve">Research </w:t>
      </w:r>
      <w:r>
        <w:rPr>
          <w:b/>
        </w:rPr>
        <w:t>Participant Payments</w:t>
      </w:r>
      <w:r w:rsidRPr="00A35944">
        <w:rPr>
          <w:b/>
        </w:rPr>
        <w:t xml:space="preserve"> to Saint Louis University Employees</w:t>
      </w:r>
    </w:p>
    <w:p w:rsidR="005B6AAC" w:rsidRDefault="005B6AAC" w:rsidP="005B6AAC">
      <w:pPr>
        <w:jc w:val="center"/>
        <w:rPr>
          <w:b/>
        </w:rPr>
      </w:pPr>
    </w:p>
    <w:p w:rsidR="005B6AAC" w:rsidRDefault="005B6AAC" w:rsidP="005B6AAC">
      <w:pPr>
        <w:pStyle w:val="ListParagraph"/>
        <w:numPr>
          <w:ilvl w:val="0"/>
          <w:numId w:val="2"/>
        </w:numPr>
      </w:pPr>
      <w:r>
        <w:t>The university follows IRS tax laws. Payments to research participants who are University employee</w:t>
      </w:r>
      <w:r w:rsidR="00FF0048">
        <w:t>s</w:t>
      </w:r>
      <w:r>
        <w:t xml:space="preserve"> are taxed.  The payments will be reported on </w:t>
      </w:r>
      <w:r w:rsidR="00CB60ED">
        <w:t xml:space="preserve">the </w:t>
      </w:r>
      <w:r>
        <w:t>annual W-2 from the university.</w:t>
      </w:r>
    </w:p>
    <w:p w:rsidR="005B6AAC" w:rsidRDefault="005B6AAC" w:rsidP="005B6AAC">
      <w:pPr>
        <w:pStyle w:val="ListParagraph"/>
        <w:numPr>
          <w:ilvl w:val="0"/>
          <w:numId w:val="2"/>
        </w:numPr>
      </w:pPr>
      <w:r>
        <w:t xml:space="preserve">The university will also calculate the tax withholdings on </w:t>
      </w:r>
      <w:r w:rsidR="00CB60ED">
        <w:t xml:space="preserve">the </w:t>
      </w:r>
      <w:r>
        <w:t xml:space="preserve">research participant payment. </w:t>
      </w:r>
    </w:p>
    <w:p w:rsidR="005B6AAC" w:rsidRPr="006433A8" w:rsidRDefault="005B6AAC" w:rsidP="005B6AAC">
      <w:pPr>
        <w:pStyle w:val="ListParagraph"/>
        <w:numPr>
          <w:ilvl w:val="0"/>
          <w:numId w:val="2"/>
        </w:numPr>
        <w:rPr>
          <w:b/>
        </w:rPr>
      </w:pPr>
      <w:r>
        <w:t xml:space="preserve">This applies to anyone who worked for the University </w:t>
      </w:r>
      <w:r w:rsidRPr="00E96335">
        <w:rPr>
          <w:i/>
        </w:rPr>
        <w:t>within the same calendar year</w:t>
      </w:r>
      <w:r>
        <w:t xml:space="preserve"> as their participation in a study.  If </w:t>
      </w:r>
      <w:r w:rsidR="00FF0048">
        <w:t xml:space="preserve">a participant is </w:t>
      </w:r>
      <w:r>
        <w:t>not a current employee, but w</w:t>
      </w:r>
      <w:r w:rsidR="00FF0048">
        <w:t xml:space="preserve">as </w:t>
      </w:r>
      <w:r>
        <w:t>an employee</w:t>
      </w:r>
      <w:r w:rsidR="00FF0048">
        <w:t xml:space="preserve"> </w:t>
      </w:r>
      <w:r w:rsidR="00264788">
        <w:t xml:space="preserve">any </w:t>
      </w:r>
      <w:r w:rsidR="00FF0048">
        <w:t>t</w:t>
      </w:r>
      <w:r>
        <w:t>ime after January 1</w:t>
      </w:r>
      <w:r w:rsidRPr="00E96335">
        <w:rPr>
          <w:vertAlign w:val="superscript"/>
        </w:rPr>
        <w:t>st</w:t>
      </w:r>
      <w:r>
        <w:t xml:space="preserve">, </w:t>
      </w:r>
      <w:r w:rsidR="00FF0048">
        <w:t xml:space="preserve">that payment is </w:t>
      </w:r>
      <w:r>
        <w:t xml:space="preserve">still subject to W-2 reporting and withholdings.  </w:t>
      </w:r>
    </w:p>
    <w:p w:rsidR="005B6AAC" w:rsidRPr="00E96335" w:rsidRDefault="005B6AAC" w:rsidP="005B6AAC">
      <w:pPr>
        <w:rPr>
          <w:b/>
        </w:rPr>
      </w:pPr>
      <w:r w:rsidRPr="00E96335">
        <w:rPr>
          <w:b/>
        </w:rPr>
        <w:t xml:space="preserve"> </w:t>
      </w:r>
    </w:p>
    <w:tbl>
      <w:tblPr>
        <w:tblStyle w:val="TableGrid"/>
        <w:tblW w:w="0" w:type="auto"/>
        <w:tblInd w:w="468" w:type="dxa"/>
        <w:tblLook w:val="04A0" w:firstRow="1" w:lastRow="0" w:firstColumn="1" w:lastColumn="0" w:noHBand="0" w:noVBand="1"/>
      </w:tblPr>
      <w:tblGrid>
        <w:gridCol w:w="9108"/>
      </w:tblGrid>
      <w:tr w:rsidR="005B6AAC" w:rsidTr="002D2F3B">
        <w:tc>
          <w:tcPr>
            <w:tcW w:w="10170" w:type="dxa"/>
          </w:tcPr>
          <w:p w:rsidR="005B6AAC" w:rsidRDefault="005B6AAC" w:rsidP="002D2F3B">
            <w:pPr>
              <w:pStyle w:val="ListParagraph"/>
              <w:ind w:left="0"/>
              <w:rPr>
                <w:b/>
              </w:rPr>
            </w:pPr>
            <w:r>
              <w:rPr>
                <w:b/>
              </w:rPr>
              <w:t>Student Workers</w:t>
            </w:r>
          </w:p>
        </w:tc>
      </w:tr>
      <w:tr w:rsidR="005B6AAC" w:rsidTr="002D2F3B">
        <w:tc>
          <w:tcPr>
            <w:tcW w:w="10170" w:type="dxa"/>
          </w:tcPr>
          <w:p w:rsidR="005B6AAC" w:rsidRDefault="005B6AAC" w:rsidP="002D2F3B">
            <w:pPr>
              <w:pStyle w:val="ListParagraph"/>
            </w:pPr>
          </w:p>
          <w:p w:rsidR="005B6AAC" w:rsidRDefault="005B6AAC" w:rsidP="005B6AAC">
            <w:pPr>
              <w:pStyle w:val="ListParagraph"/>
              <w:numPr>
                <w:ilvl w:val="0"/>
                <w:numId w:val="1"/>
              </w:numPr>
            </w:pPr>
            <w:r>
              <w:t xml:space="preserve">Since student work assignments are shorter term, university policy requires that all research participation payments are issued via additive pay to ensure the appropriate withholdings are assessed.  Student workers are not eligible for other payment options.  </w:t>
            </w:r>
          </w:p>
          <w:p w:rsidR="005B6AAC" w:rsidRDefault="00540201" w:rsidP="005B6AAC">
            <w:pPr>
              <w:pStyle w:val="ListParagraph"/>
              <w:numPr>
                <w:ilvl w:val="0"/>
                <w:numId w:val="1"/>
              </w:numPr>
            </w:pPr>
            <w:r>
              <w:t xml:space="preserve">Student workers must </w:t>
            </w:r>
            <w:r w:rsidR="005B6AAC">
              <w:t xml:space="preserve">self-report </w:t>
            </w:r>
            <w:r>
              <w:t xml:space="preserve">their </w:t>
            </w:r>
            <w:r w:rsidR="005B6AAC">
              <w:t>status as a student worker.  This policy applies to bi-weekly paid part</w:t>
            </w:r>
            <w:r w:rsidR="00CB60ED">
              <w:t>-</w:t>
            </w:r>
            <w:r w:rsidR="005B6AAC">
              <w:t xml:space="preserve"> time positions.  It does not apply to graduate students receiving a monthly stipend. </w:t>
            </w:r>
          </w:p>
          <w:p w:rsidR="005B6AAC" w:rsidRDefault="005B6AAC" w:rsidP="005B6AAC">
            <w:pPr>
              <w:pStyle w:val="ListParagraph"/>
              <w:numPr>
                <w:ilvl w:val="0"/>
                <w:numId w:val="1"/>
              </w:numPr>
            </w:pPr>
            <w:r>
              <w:t xml:space="preserve">All payments to study subjects are reviewed monthly and compared against Banner data to identify payments made to employees.  If </w:t>
            </w:r>
            <w:r w:rsidR="00540201">
              <w:t>s</w:t>
            </w:r>
            <w:r>
              <w:t xml:space="preserve">tudent </w:t>
            </w:r>
            <w:r w:rsidR="00540201">
              <w:t>w</w:t>
            </w:r>
            <w:r>
              <w:t>orker</w:t>
            </w:r>
            <w:r w:rsidR="00540201">
              <w:t xml:space="preserve"> status is discovered in this report</w:t>
            </w:r>
            <w:r>
              <w:t xml:space="preserve">, </w:t>
            </w:r>
            <w:r w:rsidR="00540201">
              <w:t xml:space="preserve">the payroll system will be updated </w:t>
            </w:r>
            <w:r>
              <w:t xml:space="preserve">so that all future study payments </w:t>
            </w:r>
            <w:r w:rsidR="00540201">
              <w:t xml:space="preserve">will be made </w:t>
            </w:r>
            <w:r>
              <w:t xml:space="preserve">via additive pay.  If </w:t>
            </w:r>
            <w:r w:rsidR="00540201">
              <w:t xml:space="preserve">a student’s </w:t>
            </w:r>
            <w:r>
              <w:t xml:space="preserve">work assignment is current, taxes on research payments will be applied to </w:t>
            </w:r>
            <w:r w:rsidR="00540201">
              <w:t xml:space="preserve">the </w:t>
            </w:r>
            <w:r>
              <w:t xml:space="preserve">next paycheck, and the earnings reported on </w:t>
            </w:r>
            <w:r w:rsidR="00540201">
              <w:t xml:space="preserve">the </w:t>
            </w:r>
            <w:r>
              <w:t xml:space="preserve">W-2.  </w:t>
            </w:r>
          </w:p>
          <w:p w:rsidR="005B6AAC" w:rsidRDefault="005B6AAC" w:rsidP="005B6AAC">
            <w:pPr>
              <w:pStyle w:val="ListParagraph"/>
              <w:numPr>
                <w:ilvl w:val="0"/>
                <w:numId w:val="1"/>
              </w:numPr>
            </w:pPr>
            <w:r>
              <w:t xml:space="preserve">If study participation extends beyond employment, the income will be reported on </w:t>
            </w:r>
            <w:r w:rsidR="00540201">
              <w:t xml:space="preserve">the </w:t>
            </w:r>
            <w:r>
              <w:t xml:space="preserve">W-2. If study participation extends into a new calendar year, and </w:t>
            </w:r>
            <w:r w:rsidR="00540201">
              <w:t xml:space="preserve">a student is </w:t>
            </w:r>
            <w:r>
              <w:t xml:space="preserve">still no longer an employee, </w:t>
            </w:r>
            <w:r w:rsidR="00540201">
              <w:t>that student w</w:t>
            </w:r>
            <w:r>
              <w:t xml:space="preserve">ill be eligible for alternative forms of payments.  </w:t>
            </w:r>
          </w:p>
          <w:p w:rsidR="005B6AAC" w:rsidRDefault="005B6AAC" w:rsidP="002D2F3B"/>
          <w:p w:rsidR="005B6AAC" w:rsidRDefault="005B6AAC" w:rsidP="002D2F3B">
            <w:pPr>
              <w:jc w:val="center"/>
              <w:rPr>
                <w:i/>
              </w:rPr>
            </w:pPr>
            <w:r w:rsidRPr="00F21100">
              <w:rPr>
                <w:i/>
              </w:rPr>
              <w:t>I am a Student Worker and I understand I will be paid via Additive Pay:</w:t>
            </w:r>
          </w:p>
          <w:p w:rsidR="005B6AAC" w:rsidRPr="00F21100" w:rsidRDefault="005B6AAC" w:rsidP="002D2F3B">
            <w:pPr>
              <w:jc w:val="center"/>
              <w:rPr>
                <w:i/>
              </w:rPr>
            </w:pPr>
          </w:p>
          <w:p w:rsidR="005B6AAC" w:rsidRDefault="005B6AAC" w:rsidP="002D2F3B">
            <w:pPr>
              <w:jc w:val="center"/>
            </w:pPr>
          </w:p>
          <w:p w:rsidR="005B6AAC" w:rsidRDefault="005B6AAC" w:rsidP="002D2F3B">
            <w:r>
              <w:t xml:space="preserve">             ________________________     __________________________   ______________</w:t>
            </w:r>
          </w:p>
          <w:p w:rsidR="005B6AAC" w:rsidRPr="000009E8" w:rsidRDefault="005B6AAC" w:rsidP="002D2F3B">
            <w:r>
              <w:t xml:space="preserve">             Printed Name                               Signed Name                                 Date</w:t>
            </w:r>
          </w:p>
        </w:tc>
      </w:tr>
    </w:tbl>
    <w:p w:rsidR="005B6AAC" w:rsidRDefault="005B6AAC" w:rsidP="005B6AAC">
      <w:pPr>
        <w:pStyle w:val="ListParagraph"/>
        <w:rPr>
          <w:b/>
        </w:rPr>
      </w:pPr>
    </w:p>
    <w:p w:rsidR="005B6AAC" w:rsidRDefault="005B6AAC" w:rsidP="005B6AAC">
      <w:pPr>
        <w:pStyle w:val="ListParagraph"/>
        <w:rPr>
          <w:b/>
        </w:rPr>
      </w:pPr>
    </w:p>
    <w:tbl>
      <w:tblPr>
        <w:tblStyle w:val="TableGrid"/>
        <w:tblW w:w="0" w:type="auto"/>
        <w:tblInd w:w="468" w:type="dxa"/>
        <w:tblLook w:val="04A0" w:firstRow="1" w:lastRow="0" w:firstColumn="1" w:lastColumn="0" w:noHBand="0" w:noVBand="1"/>
      </w:tblPr>
      <w:tblGrid>
        <w:gridCol w:w="9108"/>
      </w:tblGrid>
      <w:tr w:rsidR="005B6AAC" w:rsidTr="002D2F3B">
        <w:tc>
          <w:tcPr>
            <w:tcW w:w="10170" w:type="dxa"/>
          </w:tcPr>
          <w:p w:rsidR="005B6AAC" w:rsidRDefault="005B6AAC" w:rsidP="002D2F3B">
            <w:pPr>
              <w:pStyle w:val="ListParagraph"/>
              <w:ind w:left="0"/>
              <w:rPr>
                <w:b/>
              </w:rPr>
            </w:pPr>
            <w:r>
              <w:rPr>
                <w:b/>
              </w:rPr>
              <w:t>All Other University Employees</w:t>
            </w:r>
          </w:p>
        </w:tc>
      </w:tr>
      <w:tr w:rsidR="005B6AAC" w:rsidTr="002D2F3B">
        <w:tc>
          <w:tcPr>
            <w:tcW w:w="10170" w:type="dxa"/>
          </w:tcPr>
          <w:p w:rsidR="005B6AAC" w:rsidRPr="002774C6" w:rsidRDefault="005B6AAC" w:rsidP="002D2F3B">
            <w:pPr>
              <w:pStyle w:val="ListParagraph"/>
              <w:rPr>
                <w:b/>
              </w:rPr>
            </w:pPr>
          </w:p>
          <w:p w:rsidR="005B6AAC" w:rsidRPr="004F6E79" w:rsidRDefault="00965405" w:rsidP="005B6AAC">
            <w:pPr>
              <w:pStyle w:val="ListParagraph"/>
              <w:numPr>
                <w:ilvl w:val="0"/>
                <w:numId w:val="3"/>
              </w:numPr>
              <w:rPr>
                <w:b/>
              </w:rPr>
            </w:pPr>
            <w:r>
              <w:t xml:space="preserve">All other University employees can choose to receive research participant payment via </w:t>
            </w:r>
            <w:proofErr w:type="spellStart"/>
            <w:r>
              <w:t>C</w:t>
            </w:r>
            <w:r w:rsidR="005B6AAC">
              <w:t>linCard</w:t>
            </w:r>
            <w:proofErr w:type="spellEnd"/>
            <w:r w:rsidR="005B6AAC">
              <w:t xml:space="preserve"> or </w:t>
            </w:r>
            <w:r w:rsidR="00CB60ED">
              <w:t>a</w:t>
            </w:r>
            <w:r w:rsidR="005B6AAC">
              <w:t xml:space="preserve">dditive </w:t>
            </w:r>
            <w:r w:rsidR="00CB60ED">
              <w:t>p</w:t>
            </w:r>
            <w:r w:rsidR="005B6AAC">
              <w:t xml:space="preserve">ay.  </w:t>
            </w:r>
          </w:p>
          <w:p w:rsidR="00F07478" w:rsidRPr="00F07478" w:rsidRDefault="005B6AAC" w:rsidP="005B6AAC">
            <w:pPr>
              <w:pStyle w:val="ListParagraph"/>
              <w:numPr>
                <w:ilvl w:val="0"/>
                <w:numId w:val="3"/>
              </w:numPr>
              <w:rPr>
                <w:b/>
              </w:rPr>
            </w:pPr>
            <w:r>
              <w:t xml:space="preserve">The </w:t>
            </w:r>
            <w:r w:rsidR="00965405">
              <w:t xml:space="preserve">amount of money earned determines the tax withholding.  </w:t>
            </w:r>
            <w:r w:rsidR="00F07478">
              <w:t xml:space="preserve">The method of payment determines when payment is received, and </w:t>
            </w:r>
            <w:r w:rsidR="00540201">
              <w:t xml:space="preserve">when </w:t>
            </w:r>
            <w:r w:rsidR="00F07478">
              <w:t>taxes are withheld.</w:t>
            </w:r>
          </w:p>
          <w:p w:rsidR="005B6AAC" w:rsidRPr="00A32C41" w:rsidRDefault="00965405" w:rsidP="005B6AAC">
            <w:pPr>
              <w:pStyle w:val="ListParagraph"/>
              <w:numPr>
                <w:ilvl w:val="0"/>
                <w:numId w:val="3"/>
              </w:numPr>
              <w:rPr>
                <w:b/>
              </w:rPr>
            </w:pPr>
            <w:r>
              <w:t xml:space="preserve">If an employee chooses to be paid via </w:t>
            </w:r>
            <w:proofErr w:type="spellStart"/>
            <w:r w:rsidR="005B6AAC">
              <w:t>ClinCard</w:t>
            </w:r>
            <w:proofErr w:type="spellEnd"/>
            <w:r>
              <w:t xml:space="preserve">, funds are immediately available on the </w:t>
            </w:r>
            <w:proofErr w:type="spellStart"/>
            <w:r>
              <w:t>ClinCard</w:t>
            </w:r>
            <w:proofErr w:type="spellEnd"/>
            <w:r>
              <w:t>.  Taxes on that payment will be withheld on a future paycheck.</w:t>
            </w:r>
            <w:r w:rsidR="005B6AAC">
              <w:t xml:space="preserve">  </w:t>
            </w:r>
          </w:p>
          <w:p w:rsidR="005B6AAC" w:rsidRPr="005D38E4" w:rsidRDefault="00965405" w:rsidP="005B6AAC">
            <w:pPr>
              <w:pStyle w:val="ListParagraph"/>
              <w:numPr>
                <w:ilvl w:val="0"/>
                <w:numId w:val="3"/>
              </w:numPr>
              <w:rPr>
                <w:b/>
              </w:rPr>
            </w:pPr>
            <w:r>
              <w:t xml:space="preserve">If an employee chooses to be </w:t>
            </w:r>
            <w:r w:rsidR="005B6AAC">
              <w:t xml:space="preserve">paid via </w:t>
            </w:r>
            <w:r w:rsidR="00CB60ED">
              <w:t>a</w:t>
            </w:r>
            <w:r w:rsidR="005B6AAC">
              <w:t xml:space="preserve">dditive </w:t>
            </w:r>
            <w:r w:rsidR="00CB60ED">
              <w:t>p</w:t>
            </w:r>
            <w:r w:rsidR="005B6AAC">
              <w:t>ay</w:t>
            </w:r>
            <w:r>
              <w:t xml:space="preserve">, the </w:t>
            </w:r>
            <w:r w:rsidR="005B6AAC">
              <w:t>study compensation and the related tax</w:t>
            </w:r>
            <w:r w:rsidR="00CB60ED">
              <w:t xml:space="preserve"> withholding </w:t>
            </w:r>
            <w:r>
              <w:t xml:space="preserve">will be on a future paycheck.  </w:t>
            </w:r>
            <w:r w:rsidR="005B6AAC">
              <w:t xml:space="preserve">  </w:t>
            </w:r>
          </w:p>
          <w:p w:rsidR="005B6AAC" w:rsidRPr="004E1622" w:rsidRDefault="00965405" w:rsidP="005B6AAC">
            <w:pPr>
              <w:pStyle w:val="ListParagraph"/>
              <w:numPr>
                <w:ilvl w:val="0"/>
                <w:numId w:val="3"/>
              </w:numPr>
              <w:rPr>
                <w:b/>
              </w:rPr>
            </w:pPr>
            <w:r>
              <w:t xml:space="preserve">Employees can </w:t>
            </w:r>
            <w:r w:rsidR="005B6AAC">
              <w:t>chang</w:t>
            </w:r>
            <w:r>
              <w:t xml:space="preserve">e from one payment to another </w:t>
            </w:r>
            <w:r w:rsidR="005B6AAC">
              <w:t xml:space="preserve">during </w:t>
            </w:r>
            <w:r>
              <w:t xml:space="preserve">participation in a </w:t>
            </w:r>
            <w:r w:rsidR="005B6AAC">
              <w:t xml:space="preserve">study.  The change </w:t>
            </w:r>
            <w:r>
              <w:t xml:space="preserve">will only </w:t>
            </w:r>
            <w:r w:rsidR="005B6AAC">
              <w:t>appl</w:t>
            </w:r>
            <w:r w:rsidR="00F07478">
              <w:t xml:space="preserve">y </w:t>
            </w:r>
            <w:r w:rsidR="005B6AAC">
              <w:t xml:space="preserve">to any future visits.  It cannot be applied retroactively.  </w:t>
            </w:r>
          </w:p>
          <w:p w:rsidR="005B6AAC" w:rsidRPr="00F21100" w:rsidRDefault="005B6AAC" w:rsidP="005B6AAC">
            <w:pPr>
              <w:pStyle w:val="ListParagraph"/>
              <w:numPr>
                <w:ilvl w:val="0"/>
                <w:numId w:val="3"/>
              </w:numPr>
              <w:rPr>
                <w:b/>
              </w:rPr>
            </w:pPr>
            <w:r>
              <w:t xml:space="preserve">With either payment option, any retirement match from the university is also applied to these earnings.    </w:t>
            </w:r>
          </w:p>
          <w:p w:rsidR="005B6AAC" w:rsidRPr="00F21100" w:rsidRDefault="005B6AAC" w:rsidP="002D2F3B">
            <w:pPr>
              <w:pStyle w:val="ListParagraph"/>
              <w:rPr>
                <w:b/>
              </w:rPr>
            </w:pPr>
          </w:p>
          <w:p w:rsidR="005B6AAC" w:rsidRDefault="005B6AAC" w:rsidP="002D2F3B">
            <w:pPr>
              <w:jc w:val="center"/>
              <w:rPr>
                <w:i/>
              </w:rPr>
            </w:pPr>
            <w:r w:rsidRPr="00F21100">
              <w:rPr>
                <w:i/>
              </w:rPr>
              <w:t xml:space="preserve">I am a </w:t>
            </w:r>
            <w:r>
              <w:rPr>
                <w:i/>
              </w:rPr>
              <w:t>University employee, my preferred payment method is</w:t>
            </w:r>
            <w:r w:rsidRPr="00F21100">
              <w:rPr>
                <w:i/>
              </w:rPr>
              <w:t>:</w:t>
            </w:r>
          </w:p>
          <w:p w:rsidR="005B6AAC" w:rsidRDefault="005B6AAC" w:rsidP="002D2F3B">
            <w:pPr>
              <w:jc w:val="center"/>
              <w:rPr>
                <w:i/>
              </w:rPr>
            </w:pPr>
          </w:p>
          <w:p w:rsidR="005B6AAC" w:rsidRDefault="005B6AAC" w:rsidP="002D2F3B">
            <w:pPr>
              <w:jc w:val="center"/>
            </w:pPr>
            <w:r w:rsidRPr="002774C6">
              <w:rPr>
                <w:sz w:val="24"/>
                <w:szCs w:val="24"/>
              </w:rPr>
              <w:sym w:font="Wingdings" w:char="F06F"/>
            </w:r>
            <w:r w:rsidRPr="002774C6">
              <w:rPr>
                <w:sz w:val="24"/>
                <w:szCs w:val="24"/>
              </w:rPr>
              <w:t xml:space="preserve"> Additive Pay   </w:t>
            </w:r>
            <w:r w:rsidRPr="002774C6">
              <w:rPr>
                <w:sz w:val="24"/>
                <w:szCs w:val="24"/>
              </w:rPr>
              <w:sym w:font="Wingdings" w:char="F06F"/>
            </w:r>
            <w:r w:rsidRPr="002774C6">
              <w:rPr>
                <w:sz w:val="24"/>
                <w:szCs w:val="24"/>
              </w:rPr>
              <w:t xml:space="preserve"> </w:t>
            </w:r>
            <w:proofErr w:type="spellStart"/>
            <w:r w:rsidRPr="002774C6">
              <w:rPr>
                <w:sz w:val="24"/>
                <w:szCs w:val="24"/>
              </w:rPr>
              <w:t>ClinCard</w:t>
            </w:r>
            <w:proofErr w:type="spellEnd"/>
          </w:p>
          <w:p w:rsidR="005B6AAC" w:rsidRDefault="005B6AAC" w:rsidP="002D2F3B">
            <w:pPr>
              <w:jc w:val="center"/>
            </w:pPr>
          </w:p>
          <w:p w:rsidR="005B6AAC" w:rsidRDefault="005B6AAC" w:rsidP="002D2F3B">
            <w:r>
              <w:t xml:space="preserve">             ________________________     __________________________   ______________</w:t>
            </w:r>
          </w:p>
          <w:p w:rsidR="005B6AAC" w:rsidRPr="00F21100" w:rsidRDefault="005B6AAC" w:rsidP="002D2F3B">
            <w:pPr>
              <w:rPr>
                <w:b/>
              </w:rPr>
            </w:pPr>
            <w:r>
              <w:t xml:space="preserve">             Printed Name                               Signed Name                                 Date</w:t>
            </w:r>
          </w:p>
          <w:p w:rsidR="005B6AAC" w:rsidRDefault="005B6AAC" w:rsidP="002D2F3B">
            <w:pPr>
              <w:pStyle w:val="ListParagraph"/>
              <w:rPr>
                <w:b/>
              </w:rPr>
            </w:pPr>
          </w:p>
        </w:tc>
      </w:tr>
    </w:tbl>
    <w:p w:rsidR="00CE790F" w:rsidRDefault="00CE790F"/>
    <w:sectPr w:rsidR="00CE790F" w:rsidSect="00FF0048">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44" w:rsidRDefault="000E5F44" w:rsidP="00914E21">
      <w:r>
        <w:separator/>
      </w:r>
    </w:p>
  </w:endnote>
  <w:endnote w:type="continuationSeparator" w:id="0">
    <w:p w:rsidR="000E5F44" w:rsidRDefault="000E5F44" w:rsidP="0091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21" w:rsidRDefault="00914E21">
    <w:pPr>
      <w:pStyle w:val="Footer"/>
    </w:pPr>
    <w:r>
      <w:t>5/13/2016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44" w:rsidRDefault="000E5F44" w:rsidP="00914E21">
      <w:r>
        <w:separator/>
      </w:r>
    </w:p>
  </w:footnote>
  <w:footnote w:type="continuationSeparator" w:id="0">
    <w:p w:rsidR="000E5F44" w:rsidRDefault="000E5F44" w:rsidP="00914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4EEB"/>
    <w:multiLevelType w:val="hybridMultilevel"/>
    <w:tmpl w:val="B84A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21251"/>
    <w:multiLevelType w:val="hybridMultilevel"/>
    <w:tmpl w:val="9E92B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B6426"/>
    <w:multiLevelType w:val="hybridMultilevel"/>
    <w:tmpl w:val="9846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AC"/>
    <w:rsid w:val="000E5F44"/>
    <w:rsid w:val="00264788"/>
    <w:rsid w:val="00540201"/>
    <w:rsid w:val="005B6AAC"/>
    <w:rsid w:val="008C1025"/>
    <w:rsid w:val="00914E21"/>
    <w:rsid w:val="00965405"/>
    <w:rsid w:val="00B637F2"/>
    <w:rsid w:val="00CB60ED"/>
    <w:rsid w:val="00CE02DE"/>
    <w:rsid w:val="00CE790F"/>
    <w:rsid w:val="00F07478"/>
    <w:rsid w:val="00FF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AC"/>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AAC"/>
    <w:pPr>
      <w:ind w:left="720"/>
    </w:pPr>
  </w:style>
  <w:style w:type="table" w:styleId="TableGrid">
    <w:name w:val="Table Grid"/>
    <w:basedOn w:val="TableNormal"/>
    <w:uiPriority w:val="59"/>
    <w:rsid w:val="005B6A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E21"/>
    <w:pPr>
      <w:tabs>
        <w:tab w:val="center" w:pos="4680"/>
        <w:tab w:val="right" w:pos="9360"/>
      </w:tabs>
    </w:pPr>
  </w:style>
  <w:style w:type="character" w:customStyle="1" w:styleId="HeaderChar">
    <w:name w:val="Header Char"/>
    <w:basedOn w:val="DefaultParagraphFont"/>
    <w:link w:val="Header"/>
    <w:uiPriority w:val="99"/>
    <w:rsid w:val="00914E21"/>
    <w:rPr>
      <w:rFonts w:ascii="Arial" w:eastAsia="Times New Roman" w:hAnsi="Arial" w:cs="Arial"/>
      <w:sz w:val="20"/>
      <w:szCs w:val="20"/>
    </w:rPr>
  </w:style>
  <w:style w:type="paragraph" w:styleId="Footer">
    <w:name w:val="footer"/>
    <w:basedOn w:val="Normal"/>
    <w:link w:val="FooterChar"/>
    <w:uiPriority w:val="99"/>
    <w:unhideWhenUsed/>
    <w:rsid w:val="00914E21"/>
    <w:pPr>
      <w:tabs>
        <w:tab w:val="center" w:pos="4680"/>
        <w:tab w:val="right" w:pos="9360"/>
      </w:tabs>
    </w:pPr>
  </w:style>
  <w:style w:type="character" w:customStyle="1" w:styleId="FooterChar">
    <w:name w:val="Footer Char"/>
    <w:basedOn w:val="DefaultParagraphFont"/>
    <w:link w:val="Footer"/>
    <w:uiPriority w:val="99"/>
    <w:rsid w:val="00914E21"/>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AC"/>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AAC"/>
    <w:pPr>
      <w:ind w:left="720"/>
    </w:pPr>
  </w:style>
  <w:style w:type="table" w:styleId="TableGrid">
    <w:name w:val="Table Grid"/>
    <w:basedOn w:val="TableNormal"/>
    <w:uiPriority w:val="59"/>
    <w:rsid w:val="005B6A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E21"/>
    <w:pPr>
      <w:tabs>
        <w:tab w:val="center" w:pos="4680"/>
        <w:tab w:val="right" w:pos="9360"/>
      </w:tabs>
    </w:pPr>
  </w:style>
  <w:style w:type="character" w:customStyle="1" w:styleId="HeaderChar">
    <w:name w:val="Header Char"/>
    <w:basedOn w:val="DefaultParagraphFont"/>
    <w:link w:val="Header"/>
    <w:uiPriority w:val="99"/>
    <w:rsid w:val="00914E21"/>
    <w:rPr>
      <w:rFonts w:ascii="Arial" w:eastAsia="Times New Roman" w:hAnsi="Arial" w:cs="Arial"/>
      <w:sz w:val="20"/>
      <w:szCs w:val="20"/>
    </w:rPr>
  </w:style>
  <w:style w:type="paragraph" w:styleId="Footer">
    <w:name w:val="footer"/>
    <w:basedOn w:val="Normal"/>
    <w:link w:val="FooterChar"/>
    <w:uiPriority w:val="99"/>
    <w:unhideWhenUsed/>
    <w:rsid w:val="00914E21"/>
    <w:pPr>
      <w:tabs>
        <w:tab w:val="center" w:pos="4680"/>
        <w:tab w:val="right" w:pos="9360"/>
      </w:tabs>
    </w:pPr>
  </w:style>
  <w:style w:type="character" w:customStyle="1" w:styleId="FooterChar">
    <w:name w:val="Footer Char"/>
    <w:basedOn w:val="DefaultParagraphFont"/>
    <w:link w:val="Footer"/>
    <w:uiPriority w:val="99"/>
    <w:rsid w:val="00914E2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abreuer</dc:creator>
  <cp:lastModifiedBy>Melissa G. Fink</cp:lastModifiedBy>
  <cp:revision>2</cp:revision>
  <cp:lastPrinted>2016-05-10T21:53:00Z</cp:lastPrinted>
  <dcterms:created xsi:type="dcterms:W3CDTF">2016-05-31T17:39:00Z</dcterms:created>
  <dcterms:modified xsi:type="dcterms:W3CDTF">2016-05-31T17:39:00Z</dcterms:modified>
</cp:coreProperties>
</file>