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5F" w:rsidRPr="0006272E" w:rsidRDefault="0006272E" w:rsidP="0006272E">
      <w:pPr>
        <w:ind w:left="1440" w:firstLine="720"/>
        <w:rPr>
          <w:b/>
          <w:sz w:val="26"/>
          <w:szCs w:val="26"/>
        </w:rPr>
      </w:pPr>
      <w:r w:rsidRPr="0006272E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39DD028" wp14:editId="18475A49">
            <wp:simplePos x="0" y="0"/>
            <wp:positionH relativeFrom="column">
              <wp:posOffset>-440055</wp:posOffset>
            </wp:positionH>
            <wp:positionV relativeFrom="paragraph">
              <wp:posOffset>-330200</wp:posOffset>
            </wp:positionV>
            <wp:extent cx="1748155" cy="749300"/>
            <wp:effectExtent l="0" t="0" r="4445" b="0"/>
            <wp:wrapTight wrapText="bothSides">
              <wp:wrapPolygon edited="0">
                <wp:start x="0" y="0"/>
                <wp:lineTo x="0" y="20868"/>
                <wp:lineTo x="21420" y="20868"/>
                <wp:lineTo x="214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72E">
        <w:rPr>
          <w:b/>
          <w:sz w:val="26"/>
          <w:szCs w:val="26"/>
        </w:rPr>
        <w:t xml:space="preserve">   NIH Single IRB </w:t>
      </w:r>
      <w:r>
        <w:rPr>
          <w:b/>
          <w:sz w:val="26"/>
          <w:szCs w:val="26"/>
        </w:rPr>
        <w:t>Use</w:t>
      </w:r>
      <w:r w:rsidRPr="0006272E">
        <w:rPr>
          <w:b/>
          <w:sz w:val="26"/>
          <w:szCs w:val="26"/>
        </w:rPr>
        <w:t xml:space="preserve"> </w:t>
      </w:r>
      <w:r w:rsidR="00520C06">
        <w:rPr>
          <w:b/>
          <w:sz w:val="26"/>
          <w:szCs w:val="26"/>
        </w:rPr>
        <w:t xml:space="preserve">Policy </w:t>
      </w:r>
      <w:r w:rsidRPr="0006272E">
        <w:rPr>
          <w:b/>
          <w:sz w:val="26"/>
          <w:szCs w:val="26"/>
        </w:rPr>
        <w:t>Guidance</w:t>
      </w:r>
    </w:p>
    <w:p w:rsidR="003B7C34" w:rsidRPr="003E4727" w:rsidRDefault="003B7C34" w:rsidP="0006272E">
      <w:pPr>
        <w:rPr>
          <w:b/>
          <w:sz w:val="4"/>
          <w:szCs w:val="4"/>
        </w:rPr>
      </w:pPr>
    </w:p>
    <w:p w:rsidR="0006272E" w:rsidRDefault="0006272E" w:rsidP="0006272E">
      <w:pPr>
        <w:rPr>
          <w:b/>
        </w:rPr>
      </w:pPr>
      <w:r>
        <w:rPr>
          <w:b/>
        </w:rPr>
        <w:t>What is the NIH Single IRB Use Policy?</w:t>
      </w:r>
    </w:p>
    <w:p w:rsidR="0006272E" w:rsidRPr="0006272E" w:rsidRDefault="0006272E" w:rsidP="0006272E">
      <w:r>
        <w:t xml:space="preserve">Effective January 25, 2018, the NIH Single IRB Use Policy requires NIH-funded research being conducted at multiple domestic (US) sites </w:t>
      </w:r>
      <w:r w:rsidR="00B86C24">
        <w:t xml:space="preserve">to </w:t>
      </w:r>
      <w:r>
        <w:t>use a single IRB for oversight of the study as opposed to multiple IRBs.</w:t>
      </w:r>
      <w:r w:rsidR="003E4727">
        <w:t xml:space="preserve"> The goal is to streamline the IRB review process to avoid repetition of review across sites.</w:t>
      </w:r>
    </w:p>
    <w:p w:rsidR="0006272E" w:rsidRDefault="0006272E" w:rsidP="0006272E">
      <w:pPr>
        <w:rPr>
          <w:b/>
        </w:rPr>
      </w:pPr>
      <w:r>
        <w:rPr>
          <w:b/>
        </w:rPr>
        <w:t>What does it apply to?</w:t>
      </w:r>
    </w:p>
    <w:p w:rsidR="0006272E" w:rsidRDefault="0006272E" w:rsidP="0006272E">
      <w:pPr>
        <w:pStyle w:val="ListParagraph"/>
        <w:numPr>
          <w:ilvl w:val="0"/>
          <w:numId w:val="1"/>
        </w:numPr>
      </w:pPr>
      <w:r>
        <w:t xml:space="preserve">New NIH grants </w:t>
      </w:r>
      <w:r w:rsidR="00B86C24">
        <w:t>and</w:t>
      </w:r>
      <w:r>
        <w:t xml:space="preserve"> competitive renewals submitted on/after Jan 25, 2018</w:t>
      </w:r>
    </w:p>
    <w:p w:rsidR="0006272E" w:rsidRDefault="0006272E" w:rsidP="0006272E">
      <w:pPr>
        <w:pStyle w:val="ListParagraph"/>
        <w:numPr>
          <w:ilvl w:val="0"/>
          <w:numId w:val="1"/>
        </w:numPr>
      </w:pPr>
      <w:r>
        <w:t>NIH contracts with solicitations on/after Jan 25, 2018</w:t>
      </w:r>
    </w:p>
    <w:p w:rsidR="0006272E" w:rsidRDefault="00B86C24" w:rsidP="0006272E">
      <w:pPr>
        <w:pStyle w:val="ListParagraph"/>
        <w:numPr>
          <w:ilvl w:val="0"/>
          <w:numId w:val="1"/>
        </w:numPr>
      </w:pPr>
      <w:r>
        <w:t>Studie</w:t>
      </w:r>
      <w:r w:rsidR="0006272E">
        <w:t xml:space="preserve">s in which the “same protocol” </w:t>
      </w:r>
      <w:r>
        <w:t>is being conducted at multiple domestic sites</w:t>
      </w:r>
    </w:p>
    <w:p w:rsidR="0006272E" w:rsidRDefault="0006272E" w:rsidP="0006272E">
      <w:pPr>
        <w:pStyle w:val="ListParagraph"/>
        <w:numPr>
          <w:ilvl w:val="0"/>
          <w:numId w:val="1"/>
        </w:numPr>
      </w:pPr>
      <w:r>
        <w:t>If the RFP or FOA says it applies, it applies!</w:t>
      </w:r>
    </w:p>
    <w:p w:rsidR="0006272E" w:rsidRDefault="0006272E" w:rsidP="0006272E">
      <w:pPr>
        <w:rPr>
          <w:b/>
        </w:rPr>
      </w:pPr>
      <w:r>
        <w:rPr>
          <w:b/>
        </w:rPr>
        <w:t>What doesn’t it apply to?</w:t>
      </w:r>
    </w:p>
    <w:p w:rsidR="0006272E" w:rsidRDefault="0006272E" w:rsidP="0006272E">
      <w:pPr>
        <w:pStyle w:val="ListParagraph"/>
        <w:numPr>
          <w:ilvl w:val="0"/>
          <w:numId w:val="1"/>
        </w:numPr>
      </w:pPr>
      <w:r>
        <w:t>Career Development (K), Fellowship (F) and Research Training (T) Awards</w:t>
      </w:r>
    </w:p>
    <w:p w:rsidR="0006272E" w:rsidRDefault="0006272E" w:rsidP="0006272E">
      <w:pPr>
        <w:pStyle w:val="ListParagraph"/>
        <w:numPr>
          <w:ilvl w:val="0"/>
          <w:numId w:val="1"/>
        </w:numPr>
      </w:pPr>
      <w:r>
        <w:t>“Exempt” studies (those that fall under Exempt</w:t>
      </w:r>
      <w:r w:rsidR="007B4FAB">
        <w:t>ion</w:t>
      </w:r>
      <w:r>
        <w:t xml:space="preserve"> categories per federal regulations)</w:t>
      </w:r>
    </w:p>
    <w:p w:rsidR="0006272E" w:rsidRDefault="007B4FAB" w:rsidP="0006272E">
      <w:pPr>
        <w:pStyle w:val="ListParagraph"/>
        <w:numPr>
          <w:ilvl w:val="0"/>
          <w:numId w:val="1"/>
        </w:numPr>
      </w:pPr>
      <w:r>
        <w:t>International s</w:t>
      </w:r>
      <w:r w:rsidR="0006272E">
        <w:t>ites or those for which federal, state or tribal laws conflict with use of a single IRB</w:t>
      </w:r>
    </w:p>
    <w:p w:rsidR="003B7C34" w:rsidRDefault="003B7C34" w:rsidP="003B7C34">
      <w:pPr>
        <w:rPr>
          <w:b/>
        </w:rPr>
      </w:pPr>
      <w:r>
        <w:rPr>
          <w:b/>
        </w:rPr>
        <w:t>How does this impact my grant application?</w:t>
      </w:r>
    </w:p>
    <w:p w:rsidR="003B7C34" w:rsidRDefault="003B7C34" w:rsidP="003B7C34">
      <w:pPr>
        <w:pStyle w:val="ListParagraph"/>
        <w:numPr>
          <w:ilvl w:val="0"/>
          <w:numId w:val="1"/>
        </w:numPr>
      </w:pPr>
      <w:r>
        <w:t>You’ll be asked to provide a single IRB plan (name the single IRB and all sites who will use it or provide adequate justification for any exceptions)</w:t>
      </w:r>
    </w:p>
    <w:p w:rsidR="003B7C34" w:rsidRDefault="003B7C34" w:rsidP="003B7C34">
      <w:pPr>
        <w:pStyle w:val="ListParagraph"/>
        <w:numPr>
          <w:ilvl w:val="0"/>
          <w:numId w:val="1"/>
        </w:numPr>
      </w:pPr>
      <w:r>
        <w:t>You’ll need to account for IRB review fees in your budget</w:t>
      </w:r>
    </w:p>
    <w:p w:rsidR="00B86C24" w:rsidRDefault="00B86C24" w:rsidP="003B7C34">
      <w:pPr>
        <w:pStyle w:val="ListParagraph"/>
        <w:numPr>
          <w:ilvl w:val="0"/>
          <w:numId w:val="1"/>
        </w:numPr>
      </w:pPr>
      <w:r>
        <w:t>Plan ahead for these components! Determining the single IRB &amp; related costs will take time!</w:t>
      </w:r>
    </w:p>
    <w:p w:rsidR="003B7C34" w:rsidRDefault="0048443D" w:rsidP="003B7C34">
      <w:pPr>
        <w:rPr>
          <w:b/>
        </w:rPr>
      </w:pPr>
      <w:r>
        <w:rPr>
          <w:b/>
        </w:rPr>
        <w:t>Who should I list as the Single IRB</w:t>
      </w:r>
      <w:r w:rsidR="003B7C34">
        <w:rPr>
          <w:b/>
        </w:rPr>
        <w:t>?</w:t>
      </w:r>
      <w:bookmarkStart w:id="0" w:name="_GoBack"/>
      <w:bookmarkEnd w:id="0"/>
    </w:p>
    <w:p w:rsidR="003B7C34" w:rsidRDefault="003B7C34" w:rsidP="003B7C34">
      <w:pPr>
        <w:pStyle w:val="ListParagraph"/>
        <w:numPr>
          <w:ilvl w:val="0"/>
          <w:numId w:val="1"/>
        </w:numPr>
      </w:pPr>
      <w:r>
        <w:t xml:space="preserve">If your study is minimal risk: SLU IRB can act as single IRB. Email </w:t>
      </w:r>
      <w:hyperlink r:id="rId6" w:history="1">
        <w:r w:rsidRPr="0056509B">
          <w:rPr>
            <w:rStyle w:val="Hyperlink"/>
          </w:rPr>
          <w:t>irb@slu.edu</w:t>
        </w:r>
      </w:hyperlink>
      <w:r>
        <w:t xml:space="preserve"> to confirm. </w:t>
      </w:r>
    </w:p>
    <w:p w:rsidR="00EC6C15" w:rsidRDefault="003B7C34" w:rsidP="003B7C34">
      <w:pPr>
        <w:pStyle w:val="ListParagraph"/>
        <w:numPr>
          <w:ilvl w:val="0"/>
          <w:numId w:val="1"/>
        </w:numPr>
      </w:pPr>
      <w:r>
        <w:t xml:space="preserve">If your study is more than minimal risk: </w:t>
      </w:r>
    </w:p>
    <w:p w:rsidR="00EC6C15" w:rsidRDefault="00EC6C15" w:rsidP="00EC6C15">
      <w:pPr>
        <w:pStyle w:val="ListParagraph"/>
        <w:numPr>
          <w:ilvl w:val="1"/>
          <w:numId w:val="1"/>
        </w:numPr>
      </w:pPr>
      <w:r>
        <w:t xml:space="preserve">If SLU is not the coordinating site:  </w:t>
      </w:r>
      <w:r w:rsidR="00C55108">
        <w:t xml:space="preserve">select </w:t>
      </w:r>
      <w:r>
        <w:t>the</w:t>
      </w:r>
      <w:r w:rsidR="003B7C34">
        <w:t xml:space="preserve"> collaborating institution’s IRB </w:t>
      </w:r>
    </w:p>
    <w:p w:rsidR="003B7C34" w:rsidRDefault="00EC6C15" w:rsidP="00EC6C15">
      <w:pPr>
        <w:pStyle w:val="ListParagraph"/>
        <w:numPr>
          <w:ilvl w:val="1"/>
          <w:numId w:val="1"/>
        </w:numPr>
      </w:pPr>
      <w:r>
        <w:t xml:space="preserve">If SLU is the coordinating site/direct recipient of the award:  select </w:t>
      </w:r>
      <w:r w:rsidR="003B7C34">
        <w:t>a SLU par</w:t>
      </w:r>
      <w:r w:rsidR="00C55108">
        <w:t>tn</w:t>
      </w:r>
      <w:r>
        <w:t xml:space="preserve">er central IRB (currently WIRB </w:t>
      </w:r>
      <w:r w:rsidR="00C55108">
        <w:t xml:space="preserve">or </w:t>
      </w:r>
      <w:proofErr w:type="spellStart"/>
      <w:r w:rsidR="00C55108">
        <w:t>Advarra</w:t>
      </w:r>
      <w:proofErr w:type="spellEnd"/>
      <w:r w:rsidR="00C55108">
        <w:t>)</w:t>
      </w:r>
      <w:r w:rsidR="00C2316D">
        <w:t xml:space="preserve">. Contact </w:t>
      </w:r>
      <w:hyperlink r:id="rId7" w:history="1">
        <w:r w:rsidR="00C2316D" w:rsidRPr="0056509B">
          <w:rPr>
            <w:rStyle w:val="Hyperlink"/>
          </w:rPr>
          <w:t>irb@slu.edu</w:t>
        </w:r>
      </w:hyperlink>
      <w:r>
        <w:t xml:space="preserve"> with questions or exception requests.</w:t>
      </w:r>
    </w:p>
    <w:p w:rsidR="00C55108" w:rsidRDefault="00C55108" w:rsidP="00C55108">
      <w:pPr>
        <w:rPr>
          <w:b/>
        </w:rPr>
      </w:pPr>
      <w:r>
        <w:rPr>
          <w:b/>
        </w:rPr>
        <w:t>What are the IRB review fees?</w:t>
      </w:r>
    </w:p>
    <w:p w:rsidR="00C55108" w:rsidRDefault="00C55108" w:rsidP="00C55108">
      <w:pPr>
        <w:pStyle w:val="ListParagraph"/>
        <w:numPr>
          <w:ilvl w:val="0"/>
          <w:numId w:val="1"/>
        </w:numPr>
      </w:pPr>
      <w:r>
        <w:t xml:space="preserve">For SLU IRB: these are currently accounted for in </w:t>
      </w:r>
      <w:proofErr w:type="spellStart"/>
      <w:r>
        <w:t>indirects</w:t>
      </w:r>
      <w:proofErr w:type="spellEnd"/>
    </w:p>
    <w:p w:rsidR="00C55108" w:rsidRDefault="00C55108" w:rsidP="00C55108">
      <w:pPr>
        <w:pStyle w:val="ListParagraph"/>
        <w:numPr>
          <w:ilvl w:val="0"/>
          <w:numId w:val="1"/>
        </w:numPr>
      </w:pPr>
      <w:r>
        <w:t xml:space="preserve">For non-SLU IRB: the single IRB will provide cost estimates </w:t>
      </w:r>
    </w:p>
    <w:p w:rsidR="00C55108" w:rsidRDefault="00C55108" w:rsidP="00EC6C15">
      <w:pPr>
        <w:pStyle w:val="ListParagraph"/>
        <w:numPr>
          <w:ilvl w:val="1"/>
          <w:numId w:val="1"/>
        </w:numPr>
      </w:pPr>
      <w:r>
        <w:t xml:space="preserve">(WIRB: </w:t>
      </w:r>
      <w:r w:rsidR="00EC6C15" w:rsidRPr="00EC6C15">
        <w:t>Deena Horowitz &lt;dhorowitz@wirb.com&gt;</w:t>
      </w:r>
      <w:r w:rsidRPr="00EC6C15">
        <w:t xml:space="preserve">; </w:t>
      </w:r>
      <w:r w:rsidR="00BF2508">
        <w:br/>
      </w:r>
      <w:proofErr w:type="spellStart"/>
      <w:r w:rsidR="00EC6C15" w:rsidRPr="00EC6C15">
        <w:t>Advarra</w:t>
      </w:r>
      <w:proofErr w:type="spellEnd"/>
      <w:r w:rsidR="00EC6C15" w:rsidRPr="00EC6C15">
        <w:t>: Kathleen Rankin &lt;kathleen.rankin@advarra.com&gt;</w:t>
      </w:r>
      <w:r w:rsidRPr="00EC6C15">
        <w:t>)</w:t>
      </w:r>
      <w:r>
        <w:t xml:space="preserve"> </w:t>
      </w:r>
    </w:p>
    <w:p w:rsidR="00C55108" w:rsidRDefault="00C55108" w:rsidP="00C55108">
      <w:pPr>
        <w:rPr>
          <w:b/>
        </w:rPr>
      </w:pPr>
      <w:r>
        <w:rPr>
          <w:b/>
        </w:rPr>
        <w:t>What if I’m not the lead PI (e.g., this is a subcontract)?</w:t>
      </w:r>
    </w:p>
    <w:p w:rsidR="0006272E" w:rsidRDefault="00C55108" w:rsidP="00C55108">
      <w:pPr>
        <w:pStyle w:val="ListParagraph"/>
        <w:numPr>
          <w:ilvl w:val="0"/>
          <w:numId w:val="1"/>
        </w:numPr>
      </w:pPr>
      <w:r>
        <w:t xml:space="preserve">SLU is prepared to rely on the named </w:t>
      </w:r>
      <w:r w:rsidR="007B4FAB">
        <w:t xml:space="preserve">(non-SLU) </w:t>
      </w:r>
      <w:r>
        <w:t xml:space="preserve">single IRB. Contact </w:t>
      </w:r>
      <w:hyperlink r:id="rId8" w:history="1">
        <w:r w:rsidRPr="0056509B">
          <w:rPr>
            <w:rStyle w:val="Hyperlink"/>
          </w:rPr>
          <w:t>irb@slu.edu</w:t>
        </w:r>
      </w:hyperlink>
      <w:r>
        <w:t xml:space="preserve"> with questions.</w:t>
      </w:r>
    </w:p>
    <w:p w:rsidR="00B86C24" w:rsidRDefault="00B86C24" w:rsidP="00B86C24">
      <w:pPr>
        <w:rPr>
          <w:b/>
        </w:rPr>
      </w:pPr>
      <w:r w:rsidRPr="00B86C24">
        <w:rPr>
          <w:b/>
        </w:rPr>
        <w:t>Wh</w:t>
      </w:r>
      <w:r>
        <w:rPr>
          <w:b/>
        </w:rPr>
        <w:t>ere can I learn more about the NIH Single IRB Policy?</w:t>
      </w:r>
    </w:p>
    <w:p w:rsidR="00520C06" w:rsidRPr="0006272E" w:rsidRDefault="00BF2508" w:rsidP="00B86C24">
      <w:hyperlink r:id="rId9" w:history="1">
        <w:r w:rsidR="00B86C24" w:rsidRPr="0056509B">
          <w:rPr>
            <w:rStyle w:val="Hyperlink"/>
          </w:rPr>
          <w:t>https://grants.nih.gov/policy/clinical-trials/single-irb-policy-multi-site-research.htm</w:t>
        </w:r>
      </w:hyperlink>
      <w:r w:rsidR="00B86C24">
        <w:t xml:space="preserve"> </w:t>
      </w:r>
    </w:p>
    <w:sectPr w:rsidR="00520C06" w:rsidRPr="0006272E" w:rsidSect="00BF250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3EF3"/>
    <w:multiLevelType w:val="hybridMultilevel"/>
    <w:tmpl w:val="DC2E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2E"/>
    <w:rsid w:val="0006272E"/>
    <w:rsid w:val="00256D61"/>
    <w:rsid w:val="003B7C34"/>
    <w:rsid w:val="003E4727"/>
    <w:rsid w:val="00406F5F"/>
    <w:rsid w:val="0048443D"/>
    <w:rsid w:val="00520C06"/>
    <w:rsid w:val="00567A87"/>
    <w:rsid w:val="007B4FAB"/>
    <w:rsid w:val="00993396"/>
    <w:rsid w:val="00B86C24"/>
    <w:rsid w:val="00BF2508"/>
    <w:rsid w:val="00C2316D"/>
    <w:rsid w:val="00C55108"/>
    <w:rsid w:val="00CB56F6"/>
    <w:rsid w:val="00EC6C15"/>
    <w:rsid w:val="00F4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5B59"/>
  <w15:docId w15:val="{A8220CED-8580-454A-8B72-10EF854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7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l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@s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@slu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policy/clinical-trials/single-irb-policy-multi-site-resear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G. Fink</dc:creator>
  <cp:lastModifiedBy>Maureen Bresnahan</cp:lastModifiedBy>
  <cp:revision>2</cp:revision>
  <cp:lastPrinted>2018-02-16T14:44:00Z</cp:lastPrinted>
  <dcterms:created xsi:type="dcterms:W3CDTF">2019-04-17T23:19:00Z</dcterms:created>
  <dcterms:modified xsi:type="dcterms:W3CDTF">2019-04-17T23:19:00Z</dcterms:modified>
</cp:coreProperties>
</file>