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89" w:rsidRPr="004F023E" w:rsidRDefault="00AA2C89" w:rsidP="00AA2C89">
      <w:pPr>
        <w:pStyle w:val="Title"/>
        <w:rPr>
          <w:rFonts w:ascii="Arial" w:hAnsi="Arial" w:cs="Arial"/>
          <w:b/>
          <w:bCs/>
          <w:sz w:val="24"/>
        </w:rPr>
      </w:pPr>
      <w:r w:rsidRPr="004F023E">
        <w:rPr>
          <w:rFonts w:ascii="Arial" w:hAnsi="Arial" w:cs="Arial"/>
          <w:b/>
          <w:bCs/>
          <w:sz w:val="24"/>
        </w:rPr>
        <w:t>Saint Louis University</w:t>
      </w:r>
    </w:p>
    <w:p w:rsidR="00AA2C89" w:rsidRDefault="00AA2C89" w:rsidP="00AA2C89">
      <w:pPr>
        <w:jc w:val="center"/>
        <w:rPr>
          <w:rFonts w:ascii="Arial" w:hAnsi="Arial" w:cs="Arial"/>
          <w:b/>
        </w:rPr>
      </w:pPr>
      <w:r w:rsidRPr="004F023E">
        <w:rPr>
          <w:rFonts w:ascii="Arial" w:hAnsi="Arial" w:cs="Arial"/>
          <w:b/>
        </w:rPr>
        <w:t>Institutional Review Board</w:t>
      </w:r>
    </w:p>
    <w:p w:rsidR="00AA2C89" w:rsidRDefault="00AA2C89" w:rsidP="00AA2C89">
      <w:pPr>
        <w:jc w:val="center"/>
        <w:rPr>
          <w:rFonts w:ascii="Arial" w:hAnsi="Arial" w:cs="Arial"/>
          <w:b/>
        </w:rPr>
      </w:pPr>
    </w:p>
    <w:p w:rsidR="00AA2C89" w:rsidRPr="004F023E" w:rsidRDefault="00AA2C89" w:rsidP="00AA2C89">
      <w:pPr>
        <w:pStyle w:val="Title"/>
        <w:rPr>
          <w:rFonts w:ascii="Arial" w:hAnsi="Arial" w:cs="Arial"/>
          <w:b/>
          <w:bCs/>
          <w:sz w:val="24"/>
          <w:u w:val="single"/>
        </w:rPr>
      </w:pPr>
      <w:r w:rsidRPr="004F023E">
        <w:rPr>
          <w:rFonts w:ascii="Arial" w:hAnsi="Arial" w:cs="Arial"/>
          <w:b/>
          <w:bCs/>
          <w:sz w:val="24"/>
          <w:u w:val="single"/>
        </w:rPr>
        <w:t xml:space="preserve">Tips for Choosing the Appropriate IRB Application/Form </w:t>
      </w:r>
    </w:p>
    <w:p w:rsidR="00AA2C89" w:rsidRDefault="00AA2C89" w:rsidP="00AA2C89">
      <w:pPr>
        <w:pStyle w:val="Footer"/>
        <w:tabs>
          <w:tab w:val="clear" w:pos="4320"/>
          <w:tab w:val="clear" w:pos="8640"/>
        </w:tabs>
        <w:rPr>
          <w:rFonts w:ascii="Arial" w:hAnsi="Arial" w:cs="Arial"/>
        </w:rPr>
      </w:pPr>
    </w:p>
    <w:p w:rsidR="00AA2C89" w:rsidRDefault="00AA2C89" w:rsidP="00AA2C89">
      <w:pPr>
        <w:pStyle w:val="BodyText2"/>
        <w:rPr>
          <w:rFonts w:ascii="Arial" w:hAnsi="Arial" w:cs="Arial"/>
        </w:rPr>
      </w:pPr>
      <w:r>
        <w:rPr>
          <w:rFonts w:ascii="Arial" w:hAnsi="Arial" w:cs="Arial"/>
        </w:rPr>
        <w:t xml:space="preserve">Before beginning any research study involving human subjects, you must submit your study for IRB review and determination.  If you are uncertain that IRB review is required for your project, you can complete and submit the </w:t>
      </w:r>
      <w:hyperlink r:id="rId7" w:history="1">
        <w:r w:rsidRPr="006F4D64">
          <w:rPr>
            <w:rStyle w:val="Hyperlink"/>
            <w:rFonts w:ascii="Arial" w:hAnsi="Arial" w:cs="Arial"/>
          </w:rPr>
          <w:t>SLU IRB Human Subjects Determination Form</w:t>
        </w:r>
      </w:hyperlink>
      <w:r>
        <w:rPr>
          <w:rFonts w:ascii="Arial" w:hAnsi="Arial" w:cs="Arial"/>
        </w:rPr>
        <w:t>. Decisions on whether IRB review is required for activities can only be made by the SLU IRB.</w:t>
      </w:r>
    </w:p>
    <w:p w:rsidR="00AA2C89" w:rsidRDefault="00AA2C89" w:rsidP="00AA2C89">
      <w:pPr>
        <w:pStyle w:val="BodyText2"/>
        <w:rPr>
          <w:rFonts w:ascii="Arial" w:hAnsi="Arial" w:cs="Arial"/>
        </w:rPr>
      </w:pPr>
    </w:p>
    <w:p w:rsidR="00AA2C89" w:rsidRDefault="00AA2C89" w:rsidP="00AA2C89">
      <w:pPr>
        <w:pStyle w:val="BodyText2"/>
        <w:rPr>
          <w:rFonts w:ascii="Arial" w:hAnsi="Arial" w:cs="Arial"/>
        </w:rPr>
      </w:pPr>
      <w:r>
        <w:rPr>
          <w:rFonts w:ascii="Arial" w:hAnsi="Arial" w:cs="Arial"/>
        </w:rPr>
        <w:t xml:space="preserve">Once you have determined that IRB review is needed, you will need to select and prepare the appropriate IRB application/form. To do this, you must determine: </w:t>
      </w:r>
    </w:p>
    <w:p w:rsidR="00AA2C89" w:rsidRDefault="00AA2C89" w:rsidP="00AA2C89">
      <w:pPr>
        <w:pStyle w:val="BodyText2"/>
        <w:rPr>
          <w:rFonts w:ascii="Arial" w:hAnsi="Arial" w:cs="Arial"/>
        </w:rPr>
      </w:pPr>
    </w:p>
    <w:p w:rsidR="00AA2C89" w:rsidRDefault="00236543" w:rsidP="00AA2C89">
      <w:pPr>
        <w:pStyle w:val="BodyText2"/>
        <w:numPr>
          <w:ilvl w:val="0"/>
          <w:numId w:val="4"/>
        </w:numPr>
        <w:spacing w:line="276" w:lineRule="auto"/>
        <w:rPr>
          <w:rFonts w:ascii="Arial" w:hAnsi="Arial" w:cs="Arial"/>
        </w:rPr>
      </w:pPr>
      <w:hyperlink w:anchor="Review_Type" w:history="1">
        <w:r w:rsidR="00AA2C89" w:rsidRPr="003C6C2C">
          <w:rPr>
            <w:rStyle w:val="Hyperlink"/>
            <w:rFonts w:ascii="Arial" w:hAnsi="Arial" w:cs="Arial"/>
          </w:rPr>
          <w:t xml:space="preserve">Which </w:t>
        </w:r>
        <w:r w:rsidR="00AA2C89" w:rsidRPr="00E77431">
          <w:rPr>
            <w:rStyle w:val="Hyperlink"/>
            <w:rFonts w:ascii="Arial" w:hAnsi="Arial" w:cs="Arial"/>
          </w:rPr>
          <w:t>type of review</w:t>
        </w:r>
        <w:r w:rsidR="00AA2C89" w:rsidRPr="003C6C2C">
          <w:rPr>
            <w:rStyle w:val="Hyperlink"/>
            <w:rFonts w:ascii="Arial" w:hAnsi="Arial" w:cs="Arial"/>
          </w:rPr>
          <w:t xml:space="preserve"> your study qualifies for</w:t>
        </w:r>
      </w:hyperlink>
      <w:r w:rsidR="00AA2C89">
        <w:rPr>
          <w:rFonts w:ascii="Arial" w:hAnsi="Arial" w:cs="Arial"/>
        </w:rPr>
        <w:t xml:space="preserve"> (Exempt, Expedited, or Fullboard review).</w:t>
      </w:r>
    </w:p>
    <w:p w:rsidR="00AA2C89" w:rsidRDefault="00236543" w:rsidP="00AA2C89">
      <w:pPr>
        <w:pStyle w:val="BodyText2"/>
        <w:numPr>
          <w:ilvl w:val="0"/>
          <w:numId w:val="4"/>
        </w:numPr>
        <w:spacing w:line="276" w:lineRule="auto"/>
        <w:rPr>
          <w:rFonts w:ascii="Arial" w:hAnsi="Arial" w:cs="Arial"/>
        </w:rPr>
      </w:pPr>
      <w:hyperlink w:anchor="Application_Type" w:history="1">
        <w:r w:rsidR="00AA2C89" w:rsidRPr="006C02DE">
          <w:rPr>
            <w:rStyle w:val="Hyperlink"/>
            <w:rFonts w:ascii="Arial" w:hAnsi="Arial" w:cs="Arial"/>
          </w:rPr>
          <w:t xml:space="preserve">Which type of application/form you should </w:t>
        </w:r>
        <w:r w:rsidR="006C02DE" w:rsidRPr="006C02DE">
          <w:rPr>
            <w:rStyle w:val="Hyperlink"/>
            <w:rFonts w:ascii="Arial" w:hAnsi="Arial" w:cs="Arial"/>
          </w:rPr>
          <w:t>choose</w:t>
        </w:r>
      </w:hyperlink>
      <w:r w:rsidR="00AA2C89">
        <w:rPr>
          <w:rFonts w:ascii="Arial" w:hAnsi="Arial" w:cs="Arial"/>
        </w:rPr>
        <w:t xml:space="preserve"> (Biomedical Research or Social, Behavioral, and Education Research).</w:t>
      </w:r>
    </w:p>
    <w:p w:rsidR="00AA2C89" w:rsidRPr="0031386B" w:rsidRDefault="00AA2C89" w:rsidP="00AA2C89">
      <w:pPr>
        <w:pStyle w:val="BodyText2"/>
        <w:rPr>
          <w:sz w:val="18"/>
          <w:szCs w:val="18"/>
        </w:rPr>
      </w:pPr>
    </w:p>
    <w:p w:rsidR="00AA2C89" w:rsidRDefault="00AA2C89" w:rsidP="00AA2C89">
      <w:pPr>
        <w:rPr>
          <w:rFonts w:ascii="Arial" w:hAnsi="Arial" w:cs="Arial"/>
          <w:b/>
          <w:bCs/>
          <w:i/>
          <w:iCs/>
          <w:sz w:val="20"/>
        </w:rPr>
      </w:pPr>
      <w:bookmarkStart w:id="0" w:name="Review_Type"/>
      <w:r>
        <w:rPr>
          <w:rFonts w:ascii="Arial" w:hAnsi="Arial" w:cs="Arial"/>
          <w:b/>
          <w:bCs/>
          <w:i/>
          <w:iCs/>
          <w:sz w:val="20"/>
        </w:rPr>
        <w:t>Which type of review does my study qualify for?</w:t>
      </w:r>
      <w:bookmarkEnd w:id="0"/>
    </w:p>
    <w:p w:rsidR="00AA2C89" w:rsidRDefault="00AA2C89" w:rsidP="00AA2C89">
      <w:pPr>
        <w:rPr>
          <w:rFonts w:ascii="Arial" w:hAnsi="Arial" w:cs="Arial"/>
          <w:sz w:val="20"/>
        </w:rPr>
      </w:pPr>
    </w:p>
    <w:p w:rsidR="00AA2C89" w:rsidRDefault="00AA2C89" w:rsidP="00AA2C89">
      <w:pPr>
        <w:ind w:left="720"/>
        <w:rPr>
          <w:rFonts w:ascii="Arial" w:hAnsi="Arial" w:cs="Arial"/>
          <w:sz w:val="20"/>
        </w:rPr>
      </w:pPr>
      <w:r>
        <w:rPr>
          <w:rFonts w:ascii="Arial" w:hAnsi="Arial" w:cs="Arial"/>
          <w:sz w:val="20"/>
        </w:rPr>
        <w:t xml:space="preserve">The type of review your project will need will depend on the level of risk your study imposes on participants, and whether certain regulatory criteria are met. It is important to know which type of review your study qualifies for </w:t>
      </w:r>
      <w:r w:rsidRPr="004F023E">
        <w:rPr>
          <w:rFonts w:ascii="Arial" w:hAnsi="Arial" w:cs="Arial"/>
          <w:b/>
          <w:sz w:val="20"/>
        </w:rPr>
        <w:t>before</w:t>
      </w:r>
      <w:r>
        <w:rPr>
          <w:rFonts w:ascii="Arial" w:hAnsi="Arial" w:cs="Arial"/>
          <w:sz w:val="20"/>
        </w:rPr>
        <w:t xml:space="preserve"> starting the submission process as exempt review applications are not transferrable to non-exempt review applications. There are three types of review:</w:t>
      </w:r>
    </w:p>
    <w:p w:rsidR="00AA2C89" w:rsidRDefault="00AA2C89" w:rsidP="00AA2C89">
      <w:pPr>
        <w:ind w:left="720"/>
        <w:rPr>
          <w:rFonts w:ascii="Arial" w:hAnsi="Arial" w:cs="Arial"/>
          <w:sz w:val="20"/>
        </w:rPr>
      </w:pPr>
    </w:p>
    <w:p w:rsidR="00AA2C89" w:rsidRDefault="00236543" w:rsidP="00AA2C89">
      <w:pPr>
        <w:numPr>
          <w:ilvl w:val="1"/>
          <w:numId w:val="5"/>
        </w:numPr>
        <w:rPr>
          <w:rFonts w:ascii="Arial" w:hAnsi="Arial" w:cs="Arial"/>
          <w:sz w:val="20"/>
        </w:rPr>
      </w:pPr>
      <w:hyperlink w:anchor="Exempt_Review" w:history="1">
        <w:r w:rsidR="00AA2C89" w:rsidRPr="004F023E">
          <w:rPr>
            <w:rStyle w:val="Hyperlink"/>
            <w:rFonts w:ascii="Arial" w:hAnsi="Arial" w:cs="Arial"/>
            <w:b/>
            <w:sz w:val="20"/>
          </w:rPr>
          <w:t>Exempt Review</w:t>
        </w:r>
      </w:hyperlink>
      <w:r w:rsidR="00AA2C89">
        <w:rPr>
          <w:rFonts w:ascii="Arial" w:hAnsi="Arial" w:cs="Arial"/>
          <w:sz w:val="20"/>
        </w:rPr>
        <w:t>: studies that involve minimal risk and can be justified under one or more of the 6 exempt categories</w:t>
      </w:r>
      <w:r w:rsidR="0024756E">
        <w:rPr>
          <w:rFonts w:ascii="Arial" w:hAnsi="Arial" w:cs="Arial"/>
          <w:sz w:val="20"/>
        </w:rPr>
        <w:t xml:space="preserve"> used at SLU</w:t>
      </w:r>
      <w:r w:rsidR="00AA2C89">
        <w:rPr>
          <w:rFonts w:ascii="Arial" w:hAnsi="Arial" w:cs="Arial"/>
          <w:sz w:val="20"/>
        </w:rPr>
        <w:t>. These studies typically involve non-sensitive, non-interventional research.</w:t>
      </w:r>
      <w:r w:rsidR="0024756E">
        <w:rPr>
          <w:rFonts w:ascii="Arial" w:hAnsi="Arial" w:cs="Arial"/>
          <w:sz w:val="20"/>
        </w:rPr>
        <w:t xml:space="preserve"> </w:t>
      </w:r>
    </w:p>
    <w:p w:rsidR="00AA2C89" w:rsidRDefault="00236543" w:rsidP="00AA2C89">
      <w:pPr>
        <w:numPr>
          <w:ilvl w:val="1"/>
          <w:numId w:val="5"/>
        </w:numPr>
        <w:rPr>
          <w:rFonts w:ascii="Arial" w:hAnsi="Arial" w:cs="Arial"/>
          <w:sz w:val="20"/>
        </w:rPr>
      </w:pPr>
      <w:hyperlink w:anchor="Expedited_Review" w:history="1">
        <w:r w:rsidR="00AA2C89" w:rsidRPr="003C6C2C">
          <w:rPr>
            <w:rStyle w:val="Hyperlink"/>
            <w:rFonts w:ascii="Arial" w:hAnsi="Arial" w:cs="Arial"/>
            <w:b/>
            <w:sz w:val="20"/>
          </w:rPr>
          <w:t>Expedited Review</w:t>
        </w:r>
      </w:hyperlink>
      <w:r w:rsidR="00AA2C89" w:rsidRPr="004F023E">
        <w:rPr>
          <w:rFonts w:ascii="Arial" w:hAnsi="Arial" w:cs="Arial"/>
          <w:sz w:val="20"/>
        </w:rPr>
        <w:t>:</w:t>
      </w:r>
      <w:r w:rsidR="00AA2C89">
        <w:rPr>
          <w:rFonts w:ascii="Arial" w:hAnsi="Arial" w:cs="Arial"/>
          <w:sz w:val="20"/>
        </w:rPr>
        <w:t xml:space="preserve"> studies that involve minimal risk and can be justified under one or more of the 7 expedited categories. These studies are less restrictive than exempt counterparts, but still must meet certain requirements.</w:t>
      </w:r>
    </w:p>
    <w:p w:rsidR="00AA2C89" w:rsidRDefault="00236543" w:rsidP="00AA2C89">
      <w:pPr>
        <w:numPr>
          <w:ilvl w:val="1"/>
          <w:numId w:val="5"/>
        </w:numPr>
        <w:rPr>
          <w:rFonts w:ascii="Arial" w:hAnsi="Arial" w:cs="Arial"/>
          <w:sz w:val="20"/>
        </w:rPr>
      </w:pPr>
      <w:hyperlink w:anchor="Full_Board_Review" w:history="1">
        <w:r w:rsidR="00AA2C89" w:rsidRPr="003C6C2C">
          <w:rPr>
            <w:rStyle w:val="Hyperlink"/>
            <w:rFonts w:ascii="Arial" w:hAnsi="Arial" w:cs="Arial"/>
            <w:b/>
            <w:sz w:val="20"/>
          </w:rPr>
          <w:t>Full Board Review</w:t>
        </w:r>
      </w:hyperlink>
      <w:r w:rsidR="00AA2C89" w:rsidRPr="004F023E">
        <w:rPr>
          <w:rFonts w:ascii="Arial" w:hAnsi="Arial" w:cs="Arial"/>
          <w:sz w:val="20"/>
        </w:rPr>
        <w:t>:</w:t>
      </w:r>
      <w:r w:rsidR="00AA2C89">
        <w:rPr>
          <w:rFonts w:ascii="Arial" w:hAnsi="Arial" w:cs="Arial"/>
          <w:sz w:val="20"/>
        </w:rPr>
        <w:t xml:space="preserve"> studies involving more than minimal risk, vulnerable populations, or those that did not qualify as exempt or expedited. These studies must be submitted by the published submission deadlines.</w:t>
      </w:r>
    </w:p>
    <w:p w:rsidR="00AA2C89" w:rsidRDefault="00AA2C89" w:rsidP="00AA2C89">
      <w:pPr>
        <w:ind w:left="720"/>
        <w:rPr>
          <w:rFonts w:ascii="Arial" w:hAnsi="Arial" w:cs="Arial"/>
          <w:sz w:val="20"/>
        </w:rPr>
      </w:pPr>
    </w:p>
    <w:p w:rsidR="00AA2C89" w:rsidRDefault="00AA2C89" w:rsidP="00AA2C89">
      <w:pPr>
        <w:numPr>
          <w:ilvl w:val="0"/>
          <w:numId w:val="1"/>
        </w:numPr>
        <w:rPr>
          <w:rFonts w:ascii="Arial" w:hAnsi="Arial" w:cs="Arial"/>
          <w:b/>
          <w:bCs/>
          <w:sz w:val="20"/>
          <w:u w:val="single"/>
        </w:rPr>
      </w:pPr>
      <w:bookmarkStart w:id="1" w:name="Exempt_Review"/>
      <w:r>
        <w:rPr>
          <w:rFonts w:ascii="Arial" w:hAnsi="Arial" w:cs="Arial"/>
          <w:b/>
          <w:bCs/>
          <w:sz w:val="20"/>
          <w:u w:val="single"/>
        </w:rPr>
        <w:t xml:space="preserve">Exempt Review: </w:t>
      </w:r>
    </w:p>
    <w:bookmarkEnd w:id="1"/>
    <w:p w:rsidR="00AA2C89" w:rsidRDefault="00AA2C89" w:rsidP="00AA2C89">
      <w:pPr>
        <w:ind w:left="1080"/>
        <w:rPr>
          <w:rFonts w:ascii="Arial" w:hAnsi="Arial" w:cs="Arial"/>
          <w:b/>
          <w:bCs/>
          <w:sz w:val="20"/>
          <w:u w:val="single"/>
        </w:rPr>
      </w:pPr>
    </w:p>
    <w:p w:rsidR="00AA2C89" w:rsidRDefault="00AA2C89" w:rsidP="00AA2C89">
      <w:pPr>
        <w:numPr>
          <w:ilvl w:val="0"/>
          <w:numId w:val="2"/>
        </w:numPr>
        <w:rPr>
          <w:rFonts w:ascii="Arial" w:hAnsi="Arial" w:cs="Arial"/>
          <w:sz w:val="20"/>
        </w:rPr>
      </w:pPr>
      <w:r>
        <w:rPr>
          <w:rFonts w:ascii="Arial" w:hAnsi="Arial" w:cs="Arial"/>
          <w:sz w:val="20"/>
        </w:rPr>
        <w:t>“Exempt” does NOT mean that your research doesn’t need IRB review.  All exempt studies are initially reviewed by the IRB.  After its review, the IRB will determine its exempt status.  If a study qualifies for exempt then it is exempt from continuing IRB review.</w:t>
      </w:r>
    </w:p>
    <w:p w:rsidR="00AA2C89" w:rsidRPr="00454A84" w:rsidRDefault="00AA2C89" w:rsidP="00AA2C89">
      <w:pPr>
        <w:numPr>
          <w:ilvl w:val="0"/>
          <w:numId w:val="2"/>
        </w:numPr>
        <w:rPr>
          <w:rFonts w:ascii="Arial" w:hAnsi="Arial" w:cs="Arial"/>
          <w:sz w:val="20"/>
        </w:rPr>
      </w:pPr>
      <w:r>
        <w:rPr>
          <w:rFonts w:ascii="Arial" w:hAnsi="Arial" w:cs="Arial"/>
          <w:sz w:val="20"/>
        </w:rPr>
        <w:t>A determination of exempt does NOT permit you to make changes in your study at any time without IRB review.  You MUST alert the IRB to any and all changes in your study before they can be implemented.</w:t>
      </w:r>
    </w:p>
    <w:p w:rsidR="00AA2C89" w:rsidRDefault="00AA2C89" w:rsidP="00AA2C89">
      <w:pPr>
        <w:numPr>
          <w:ilvl w:val="0"/>
          <w:numId w:val="2"/>
        </w:numPr>
        <w:rPr>
          <w:rFonts w:ascii="Arial" w:hAnsi="Arial" w:cs="Arial"/>
          <w:sz w:val="20"/>
        </w:rPr>
      </w:pPr>
      <w:r>
        <w:rPr>
          <w:rFonts w:ascii="Arial" w:hAnsi="Arial" w:cs="Arial"/>
          <w:sz w:val="20"/>
        </w:rPr>
        <w:t>Only certain types of research qualify for exempt review.  If your research does not fit into one or more of the categories listed below</w:t>
      </w:r>
      <w:r w:rsidRPr="00B47562">
        <w:rPr>
          <w:rFonts w:ascii="Arial" w:hAnsi="Arial" w:cs="Arial"/>
          <w:sz w:val="20"/>
        </w:rPr>
        <w:t>,</w:t>
      </w:r>
      <w:r>
        <w:rPr>
          <w:rFonts w:ascii="Arial" w:hAnsi="Arial" w:cs="Arial"/>
          <w:sz w:val="20"/>
        </w:rPr>
        <w:t xml:space="preserve"> it will not qualify for exempt review and you cannot use the form designated for this type of research. </w:t>
      </w:r>
    </w:p>
    <w:p w:rsidR="00AA2C89" w:rsidRDefault="00AA2C89" w:rsidP="00AA2C89">
      <w:pPr>
        <w:numPr>
          <w:ilvl w:val="0"/>
          <w:numId w:val="2"/>
        </w:numPr>
        <w:rPr>
          <w:rFonts w:ascii="Arial" w:hAnsi="Arial" w:cs="Arial"/>
          <w:sz w:val="20"/>
        </w:rPr>
      </w:pPr>
      <w:r>
        <w:rPr>
          <w:rFonts w:ascii="Arial" w:hAnsi="Arial" w:cs="Arial"/>
          <w:sz w:val="20"/>
        </w:rPr>
        <w:t xml:space="preserve">To request exempt review, use the </w:t>
      </w:r>
      <w:r w:rsidRPr="00E4033D">
        <w:rPr>
          <w:rFonts w:ascii="Arial" w:hAnsi="Arial" w:cs="Arial"/>
          <w:sz w:val="20"/>
        </w:rPr>
        <w:t>Exempt Application</w:t>
      </w:r>
      <w:r>
        <w:rPr>
          <w:rFonts w:ascii="Arial" w:hAnsi="Arial" w:cs="Arial"/>
          <w:sz w:val="20"/>
        </w:rPr>
        <w:t xml:space="preserve"> for Biomedical or Social, Behavioral, and Education research in </w:t>
      </w:r>
      <w:hyperlink r:id="rId8" w:history="1">
        <w:r w:rsidRPr="00E4033D">
          <w:rPr>
            <w:rStyle w:val="Hyperlink"/>
            <w:rFonts w:ascii="Arial" w:hAnsi="Arial" w:cs="Arial"/>
            <w:sz w:val="20"/>
          </w:rPr>
          <w:t>eIRB</w:t>
        </w:r>
      </w:hyperlink>
      <w:r>
        <w:rPr>
          <w:rFonts w:ascii="Arial" w:hAnsi="Arial" w:cs="Arial"/>
          <w:sz w:val="20"/>
        </w:rPr>
        <w:t>.</w:t>
      </w:r>
    </w:p>
    <w:p w:rsidR="00AA2C89" w:rsidRDefault="00AA2C89" w:rsidP="00AA2C89">
      <w:pPr>
        <w:ind w:left="1080"/>
        <w:rPr>
          <w:rFonts w:ascii="Arial" w:hAnsi="Arial" w:cs="Arial"/>
          <w:sz w:val="20"/>
        </w:rPr>
      </w:pPr>
    </w:p>
    <w:p w:rsidR="00AA2C89" w:rsidRDefault="00AA2C89" w:rsidP="00AA2C89">
      <w:pPr>
        <w:ind w:left="1080"/>
        <w:rPr>
          <w:rFonts w:ascii="Arial" w:hAnsi="Arial" w:cs="Arial"/>
          <w:sz w:val="20"/>
        </w:rPr>
      </w:pPr>
    </w:p>
    <w:p w:rsidR="00686523" w:rsidRDefault="00686523" w:rsidP="00AA2C89">
      <w:pPr>
        <w:ind w:left="1080"/>
        <w:rPr>
          <w:rFonts w:ascii="Arial" w:hAnsi="Arial" w:cs="Arial"/>
          <w:sz w:val="20"/>
        </w:rPr>
      </w:pPr>
    </w:p>
    <w:p w:rsidR="00686523" w:rsidRDefault="00686523" w:rsidP="00AA2C89">
      <w:pPr>
        <w:ind w:left="1080"/>
        <w:rPr>
          <w:rFonts w:ascii="Arial" w:hAnsi="Arial" w:cs="Arial"/>
          <w:sz w:val="20"/>
        </w:rPr>
      </w:pPr>
    </w:p>
    <w:p w:rsidR="00686523" w:rsidRDefault="00686523" w:rsidP="00AA2C89">
      <w:pPr>
        <w:ind w:left="1080"/>
        <w:rPr>
          <w:rFonts w:ascii="Arial" w:hAnsi="Arial" w:cs="Arial"/>
          <w:sz w:val="20"/>
        </w:rPr>
      </w:pPr>
    </w:p>
    <w:p w:rsidR="00674636" w:rsidRDefault="00674636" w:rsidP="00AA2C89">
      <w:pPr>
        <w:ind w:left="1080"/>
        <w:rPr>
          <w:rFonts w:ascii="Arial" w:hAnsi="Arial" w:cs="Arial"/>
          <w:sz w:val="20"/>
        </w:rPr>
      </w:pPr>
    </w:p>
    <w:p w:rsidR="00AA2C89" w:rsidRDefault="00AA2C89" w:rsidP="00AA2C89">
      <w:pPr>
        <w:ind w:left="1440"/>
        <w:rPr>
          <w:rFonts w:ascii="Arial" w:hAnsi="Arial" w:cs="Arial"/>
          <w:b/>
          <w:sz w:val="20"/>
        </w:rPr>
      </w:pPr>
      <w:r w:rsidRPr="004F023E">
        <w:rPr>
          <w:rFonts w:ascii="Arial" w:hAnsi="Arial" w:cs="Arial"/>
          <w:b/>
          <w:sz w:val="20"/>
          <w:u w:val="single"/>
        </w:rPr>
        <w:lastRenderedPageBreak/>
        <w:t>E</w:t>
      </w:r>
      <w:bookmarkStart w:id="2" w:name="_GoBack"/>
      <w:bookmarkEnd w:id="2"/>
      <w:r w:rsidRPr="004F023E">
        <w:rPr>
          <w:rFonts w:ascii="Arial" w:hAnsi="Arial" w:cs="Arial"/>
          <w:b/>
          <w:sz w:val="20"/>
          <w:u w:val="single"/>
        </w:rPr>
        <w:t xml:space="preserve">xempt </w:t>
      </w:r>
      <w:r w:rsidR="00C0588A">
        <w:rPr>
          <w:rFonts w:ascii="Arial" w:hAnsi="Arial" w:cs="Arial"/>
          <w:b/>
          <w:sz w:val="20"/>
          <w:u w:val="single"/>
        </w:rPr>
        <w:t>Category</w:t>
      </w:r>
      <w:r w:rsidR="006C42EB">
        <w:rPr>
          <w:rFonts w:ascii="Arial" w:hAnsi="Arial" w:cs="Arial"/>
          <w:b/>
          <w:sz w:val="20"/>
          <w:u w:val="single"/>
        </w:rPr>
        <w:t xml:space="preserve"> Considerations</w:t>
      </w:r>
      <w:r w:rsidRPr="004F023E">
        <w:rPr>
          <w:rFonts w:ascii="Arial" w:hAnsi="Arial" w:cs="Arial"/>
          <w:b/>
          <w:sz w:val="20"/>
        </w:rPr>
        <w:t>:</w:t>
      </w:r>
    </w:p>
    <w:p w:rsidR="00674636" w:rsidRDefault="00674636" w:rsidP="00AA2C89">
      <w:pPr>
        <w:ind w:left="1440"/>
        <w:rPr>
          <w:rFonts w:ascii="Arial" w:hAnsi="Arial" w:cs="Arial"/>
          <w:sz w:val="20"/>
        </w:rPr>
      </w:pPr>
    </w:p>
    <w:p w:rsidR="00686523" w:rsidRDefault="00686523" w:rsidP="00686523">
      <w:pPr>
        <w:numPr>
          <w:ilvl w:val="0"/>
          <w:numId w:val="2"/>
        </w:numPr>
        <w:rPr>
          <w:rFonts w:ascii="Arial" w:hAnsi="Arial" w:cs="Arial"/>
          <w:sz w:val="20"/>
        </w:rPr>
      </w:pPr>
      <w:r>
        <w:rPr>
          <w:rFonts w:ascii="Arial" w:hAnsi="Arial" w:cs="Arial"/>
          <w:sz w:val="20"/>
        </w:rPr>
        <w:t>All research activities must fall under one or more of the exempt categories and must be properly justified (i.e., meet all the requirements or restrictions listed).</w:t>
      </w:r>
    </w:p>
    <w:p w:rsidR="00686523" w:rsidRDefault="00686523" w:rsidP="00686523">
      <w:pPr>
        <w:numPr>
          <w:ilvl w:val="0"/>
          <w:numId w:val="2"/>
        </w:numPr>
        <w:rPr>
          <w:rFonts w:ascii="Arial" w:hAnsi="Arial" w:cs="Arial"/>
          <w:sz w:val="20"/>
        </w:rPr>
      </w:pPr>
      <w:r w:rsidRPr="005F49A3">
        <w:rPr>
          <w:rFonts w:ascii="Arial" w:hAnsi="Arial" w:cs="Arial"/>
          <w:b/>
          <w:i/>
          <w:sz w:val="20"/>
        </w:rPr>
        <w:t>Prisoner</w:t>
      </w:r>
      <w:r>
        <w:rPr>
          <w:rFonts w:ascii="Arial" w:hAnsi="Arial" w:cs="Arial"/>
          <w:sz w:val="20"/>
        </w:rPr>
        <w:t xml:space="preserve"> subjects cannot be directly targeted as subjects and can only be included in research aimed at a broader subject population that only incidentally involves prisoners (e.g., data from a large medical chart review incidentally includes data from a prisoner).</w:t>
      </w:r>
    </w:p>
    <w:p w:rsidR="00E70EB8" w:rsidRDefault="00E70EB8" w:rsidP="00686523">
      <w:pPr>
        <w:numPr>
          <w:ilvl w:val="0"/>
          <w:numId w:val="2"/>
        </w:numPr>
        <w:rPr>
          <w:rFonts w:ascii="Arial" w:hAnsi="Arial" w:cs="Arial"/>
          <w:sz w:val="20"/>
        </w:rPr>
      </w:pPr>
      <w:r>
        <w:rPr>
          <w:rFonts w:ascii="Arial" w:hAnsi="Arial" w:cs="Arial"/>
          <w:sz w:val="20"/>
        </w:rPr>
        <w:t xml:space="preserve">The use of </w:t>
      </w:r>
      <w:r w:rsidRPr="005F49A3">
        <w:rPr>
          <w:rFonts w:ascii="Arial" w:hAnsi="Arial" w:cs="Arial"/>
          <w:b/>
          <w:i/>
          <w:sz w:val="20"/>
        </w:rPr>
        <w:t>children</w:t>
      </w:r>
      <w:r>
        <w:rPr>
          <w:rFonts w:ascii="Arial" w:hAnsi="Arial" w:cs="Arial"/>
          <w:sz w:val="20"/>
        </w:rPr>
        <w:t xml:space="preserve"> as subjects varies according to the regulations and local SLU policy. </w:t>
      </w:r>
    </w:p>
    <w:p w:rsidR="00E70EB8" w:rsidRDefault="00E70EB8" w:rsidP="005F49A3">
      <w:pPr>
        <w:numPr>
          <w:ilvl w:val="1"/>
          <w:numId w:val="2"/>
        </w:numPr>
        <w:rPr>
          <w:rFonts w:ascii="Arial" w:hAnsi="Arial" w:cs="Arial"/>
          <w:sz w:val="20"/>
        </w:rPr>
      </w:pPr>
      <w:r>
        <w:rPr>
          <w:rFonts w:ascii="Arial" w:hAnsi="Arial" w:cs="Arial"/>
          <w:sz w:val="20"/>
        </w:rPr>
        <w:t>Research involving survey or interview procedures with children is not permitted at the Exempt review level.</w:t>
      </w:r>
    </w:p>
    <w:p w:rsidR="00686523" w:rsidRPr="00454A84" w:rsidRDefault="00E70EB8" w:rsidP="005F49A3">
      <w:pPr>
        <w:numPr>
          <w:ilvl w:val="1"/>
          <w:numId w:val="2"/>
        </w:numPr>
        <w:rPr>
          <w:rFonts w:ascii="Arial" w:hAnsi="Arial" w:cs="Arial"/>
          <w:sz w:val="20"/>
        </w:rPr>
      </w:pPr>
      <w:r>
        <w:rPr>
          <w:rFonts w:ascii="Arial" w:hAnsi="Arial" w:cs="Arial"/>
          <w:sz w:val="20"/>
        </w:rPr>
        <w:t>Children may not be included in categories 1</w:t>
      </w:r>
      <w:r w:rsidR="00322E1C">
        <w:rPr>
          <w:rFonts w:ascii="Arial" w:hAnsi="Arial" w:cs="Arial"/>
          <w:sz w:val="20"/>
        </w:rPr>
        <w:t xml:space="preserve"> </w:t>
      </w:r>
      <w:r w:rsidR="00D01623">
        <w:rPr>
          <w:rFonts w:ascii="Arial" w:hAnsi="Arial" w:cs="Arial"/>
          <w:sz w:val="20"/>
        </w:rPr>
        <w:t>(per SLU policy)</w:t>
      </w:r>
      <w:r>
        <w:rPr>
          <w:rFonts w:ascii="Arial" w:hAnsi="Arial" w:cs="Arial"/>
          <w:sz w:val="20"/>
        </w:rPr>
        <w:t>, 2</w:t>
      </w:r>
      <w:r w:rsidR="00C0588A">
        <w:rPr>
          <w:rFonts w:ascii="Arial" w:hAnsi="Arial" w:cs="Arial"/>
          <w:sz w:val="20"/>
        </w:rPr>
        <w:t xml:space="preserve"> (limited)</w:t>
      </w:r>
      <w:r>
        <w:rPr>
          <w:rFonts w:ascii="Arial" w:hAnsi="Arial" w:cs="Arial"/>
          <w:sz w:val="20"/>
        </w:rPr>
        <w:t xml:space="preserve">, or 3 as specified below in each specific category. </w:t>
      </w:r>
    </w:p>
    <w:p w:rsidR="00AA2C89" w:rsidRDefault="00AA2C89" w:rsidP="00AA2C89">
      <w:pPr>
        <w:ind w:left="1800"/>
        <w:rPr>
          <w:rFonts w:ascii="Arial" w:hAnsi="Arial" w:cs="Arial"/>
          <w:sz w:val="20"/>
        </w:rPr>
      </w:pPr>
    </w:p>
    <w:p w:rsidR="00AA2C89" w:rsidRDefault="00AA2C89" w:rsidP="00AA2C89">
      <w:pPr>
        <w:ind w:left="1080"/>
        <w:rPr>
          <w:rFonts w:ascii="Arial" w:hAnsi="Arial" w:cs="Arial"/>
          <w:sz w:val="20"/>
        </w:rPr>
      </w:pPr>
    </w:p>
    <w:p w:rsidR="00AA2C89" w:rsidRDefault="00AA2C89" w:rsidP="00AA2C89">
      <w:pPr>
        <w:ind w:left="1440"/>
        <w:rPr>
          <w:rFonts w:ascii="Arial" w:hAnsi="Arial" w:cs="Arial"/>
          <w:sz w:val="20"/>
        </w:rPr>
      </w:pPr>
      <w:r w:rsidRPr="00880719">
        <w:rPr>
          <w:rFonts w:ascii="Arial" w:hAnsi="Arial" w:cs="Arial"/>
          <w:b/>
          <w:sz w:val="20"/>
          <w:u w:val="single"/>
        </w:rPr>
        <w:t xml:space="preserve">Exempt </w:t>
      </w:r>
      <w:r>
        <w:rPr>
          <w:rFonts w:ascii="Arial" w:hAnsi="Arial" w:cs="Arial"/>
          <w:b/>
          <w:sz w:val="20"/>
          <w:u w:val="single"/>
        </w:rPr>
        <w:t>Categories</w:t>
      </w:r>
      <w:r w:rsidRPr="00880719">
        <w:rPr>
          <w:rFonts w:ascii="Arial" w:hAnsi="Arial" w:cs="Arial"/>
          <w:b/>
          <w:sz w:val="20"/>
        </w:rPr>
        <w:t>:</w:t>
      </w:r>
    </w:p>
    <w:p w:rsidR="00AA2C89" w:rsidRPr="0026306B" w:rsidRDefault="00AA2C89" w:rsidP="00AA2C89">
      <w:pPr>
        <w:ind w:left="1080"/>
        <w:rPr>
          <w:rFonts w:ascii="Arial" w:hAnsi="Arial" w:cs="Arial"/>
          <w:sz w:val="20"/>
        </w:rPr>
      </w:pPr>
      <w:r>
        <w:rPr>
          <w:rFonts w:ascii="Arial" w:hAnsi="Arial" w:cs="Arial"/>
          <w:sz w:val="20"/>
        </w:rPr>
        <w:t xml:space="preserve">      All study procedures must fall into one or more of the following exempt categories:</w:t>
      </w:r>
    </w:p>
    <w:p w:rsidR="00AA2C89" w:rsidRDefault="00AA2C89" w:rsidP="00AA2C89">
      <w:pPr>
        <w:rPr>
          <w:rFonts w:ascii="Arial" w:hAnsi="Arial" w:cs="Arial"/>
          <w:b/>
          <w:bCs/>
          <w:sz w:val="20"/>
        </w:rPr>
      </w:pPr>
    </w:p>
    <w:p w:rsidR="00AA2C89" w:rsidRDefault="00AA2C89" w:rsidP="00AA2C89">
      <w:pPr>
        <w:ind w:left="1800"/>
        <w:rPr>
          <w:rFonts w:ascii="Arial" w:hAnsi="Arial" w:cs="Arial"/>
          <w:sz w:val="20"/>
          <w:szCs w:val="18"/>
        </w:rPr>
      </w:pPr>
      <w:r>
        <w:rPr>
          <w:rFonts w:ascii="Arial" w:hAnsi="Arial" w:cs="Arial"/>
          <w:b/>
          <w:bCs/>
          <w:sz w:val="20"/>
        </w:rPr>
        <w:t>Category 1.</w:t>
      </w:r>
      <w:r>
        <w:rPr>
          <w:rFonts w:ascii="Arial" w:hAnsi="Arial" w:cs="Arial"/>
          <w:sz w:val="20"/>
        </w:rPr>
        <w:t xml:space="preserve">  </w:t>
      </w:r>
      <w:r>
        <w:rPr>
          <w:rFonts w:ascii="Arial" w:hAnsi="Arial" w:cs="Arial"/>
          <w:sz w:val="20"/>
          <w:szCs w:val="18"/>
        </w:rPr>
        <w:t>Research</w:t>
      </w:r>
      <w:r w:rsidR="00796FF9">
        <w:rPr>
          <w:rFonts w:ascii="Arial" w:hAnsi="Arial" w:cs="Arial"/>
          <w:sz w:val="20"/>
          <w:szCs w:val="18"/>
        </w:rPr>
        <w:t>,</w:t>
      </w:r>
      <w:r>
        <w:rPr>
          <w:rFonts w:ascii="Arial" w:hAnsi="Arial" w:cs="Arial"/>
          <w:sz w:val="20"/>
          <w:szCs w:val="18"/>
        </w:rPr>
        <w:t xml:space="preserve"> conducted in established or commonly accepted educational settings, </w:t>
      </w:r>
      <w:r w:rsidR="00796FF9">
        <w:rPr>
          <w:rFonts w:ascii="Arial" w:hAnsi="Arial" w:cs="Arial"/>
          <w:sz w:val="20"/>
          <w:szCs w:val="18"/>
        </w:rPr>
        <w:t xml:space="preserve">that specifically involves </w:t>
      </w:r>
      <w:r>
        <w:rPr>
          <w:rFonts w:ascii="Arial" w:hAnsi="Arial" w:cs="Arial"/>
          <w:sz w:val="20"/>
          <w:szCs w:val="18"/>
        </w:rPr>
        <w:t>normal educational practices</w:t>
      </w:r>
      <w:r w:rsidR="00796FF9">
        <w:rPr>
          <w:rFonts w:ascii="Arial" w:hAnsi="Arial" w:cs="Arial"/>
          <w:sz w:val="20"/>
          <w:szCs w:val="18"/>
        </w:rPr>
        <w:t xml:space="preserve"> that are not likely to adversely impact students’ opportunity to learn required educational content or the assessment of educators who provide instruction.</w:t>
      </w:r>
      <w:r>
        <w:rPr>
          <w:rFonts w:ascii="Arial" w:hAnsi="Arial" w:cs="Arial"/>
          <w:sz w:val="20"/>
          <w:szCs w:val="18"/>
        </w:rPr>
        <w:t xml:space="preserve"> </w:t>
      </w:r>
      <w:r w:rsidR="00796FF9">
        <w:rPr>
          <w:rFonts w:ascii="Arial" w:hAnsi="Arial" w:cs="Arial"/>
          <w:sz w:val="20"/>
          <w:szCs w:val="18"/>
        </w:rPr>
        <w:t xml:space="preserve">This includes most </w:t>
      </w:r>
      <w:r>
        <w:rPr>
          <w:rFonts w:ascii="Arial" w:hAnsi="Arial" w:cs="Arial"/>
          <w:sz w:val="20"/>
          <w:szCs w:val="18"/>
        </w:rPr>
        <w:t xml:space="preserve">research on regular and special education instructional strategies, </w:t>
      </w:r>
      <w:r w:rsidR="00796FF9">
        <w:rPr>
          <w:rFonts w:ascii="Arial" w:hAnsi="Arial" w:cs="Arial"/>
          <w:sz w:val="20"/>
          <w:szCs w:val="18"/>
        </w:rPr>
        <w:t xml:space="preserve">and </w:t>
      </w:r>
      <w:r>
        <w:rPr>
          <w:rFonts w:ascii="Arial" w:hAnsi="Arial" w:cs="Arial"/>
          <w:sz w:val="20"/>
          <w:szCs w:val="18"/>
        </w:rPr>
        <w:t>research on the effectiveness of or the comparison among instructional techniques, curricula, or classroom management methods.</w:t>
      </w:r>
    </w:p>
    <w:p w:rsidR="00E70EB8" w:rsidRDefault="00E70EB8" w:rsidP="00AA2C89">
      <w:pPr>
        <w:ind w:left="1800"/>
        <w:rPr>
          <w:rFonts w:ascii="Arial" w:hAnsi="Arial" w:cs="Arial"/>
          <w:sz w:val="20"/>
          <w:szCs w:val="18"/>
        </w:rPr>
      </w:pPr>
    </w:p>
    <w:p w:rsidR="00E70EB8" w:rsidRPr="005F49A3" w:rsidRDefault="00E70EB8" w:rsidP="005F49A3">
      <w:pPr>
        <w:pStyle w:val="ListParagraph"/>
        <w:numPr>
          <w:ilvl w:val="0"/>
          <w:numId w:val="14"/>
        </w:numPr>
        <w:rPr>
          <w:rFonts w:ascii="Arial" w:hAnsi="Arial" w:cs="Arial"/>
          <w:sz w:val="20"/>
          <w:szCs w:val="18"/>
        </w:rPr>
      </w:pPr>
      <w:r>
        <w:rPr>
          <w:rFonts w:ascii="Arial" w:hAnsi="Arial" w:cs="Arial"/>
          <w:sz w:val="20"/>
          <w:szCs w:val="18"/>
        </w:rPr>
        <w:t xml:space="preserve">Note: Use of children as subjects is not currently allowed at SLU. This restriction may </w:t>
      </w:r>
      <w:r>
        <w:rPr>
          <w:rFonts w:ascii="Arial" w:hAnsi="Arial" w:cs="Arial"/>
          <w:sz w:val="20"/>
        </w:rPr>
        <w:t>be lifted when capacity to meet the regulatory requirements has been confirmed. Researchers proposing to use children as subjects in this category will be considered on a case by case basis.</w:t>
      </w:r>
    </w:p>
    <w:p w:rsidR="00AA2C89" w:rsidRDefault="00AA2C89" w:rsidP="00AA2C89">
      <w:pPr>
        <w:ind w:left="2340"/>
        <w:rPr>
          <w:rFonts w:ascii="Arial" w:hAnsi="Arial" w:cs="Arial"/>
          <w:sz w:val="20"/>
          <w:szCs w:val="18"/>
        </w:rPr>
      </w:pPr>
    </w:p>
    <w:p w:rsidR="00796FF9" w:rsidRDefault="00AA2C89" w:rsidP="00AA2C89">
      <w:pPr>
        <w:ind w:left="1800"/>
        <w:rPr>
          <w:rFonts w:ascii="Arial" w:hAnsi="Arial" w:cs="Arial"/>
          <w:sz w:val="20"/>
          <w:szCs w:val="18"/>
        </w:rPr>
      </w:pPr>
      <w:r>
        <w:rPr>
          <w:rFonts w:ascii="Arial" w:hAnsi="Arial" w:cs="Arial"/>
          <w:b/>
          <w:bCs/>
          <w:sz w:val="20"/>
        </w:rPr>
        <w:t>Category 2.</w:t>
      </w:r>
      <w:r>
        <w:rPr>
          <w:rFonts w:ascii="Arial" w:hAnsi="Arial" w:cs="Arial"/>
          <w:sz w:val="20"/>
        </w:rPr>
        <w:t xml:space="preserve">  </w:t>
      </w:r>
      <w:r>
        <w:rPr>
          <w:rFonts w:ascii="Arial" w:hAnsi="Arial" w:cs="Arial"/>
          <w:sz w:val="20"/>
          <w:szCs w:val="18"/>
        </w:rPr>
        <w:t xml:space="preserve">Research </w:t>
      </w:r>
      <w:r w:rsidR="00796FF9">
        <w:rPr>
          <w:rFonts w:ascii="Arial" w:hAnsi="Arial" w:cs="Arial"/>
          <w:sz w:val="20"/>
          <w:szCs w:val="18"/>
        </w:rPr>
        <w:t>that only includes interactions involving</w:t>
      </w:r>
      <w:r>
        <w:rPr>
          <w:rFonts w:ascii="Arial" w:hAnsi="Arial" w:cs="Arial"/>
          <w:sz w:val="20"/>
          <w:szCs w:val="18"/>
        </w:rPr>
        <w:t xml:space="preserve"> educational tests (cognitive, diagnostic, aptitude, achievement), survey procedures, interview procedures or observation of public behavior</w:t>
      </w:r>
      <w:r w:rsidR="00796FF9">
        <w:rPr>
          <w:rFonts w:ascii="Arial" w:hAnsi="Arial" w:cs="Arial"/>
          <w:sz w:val="20"/>
          <w:szCs w:val="18"/>
        </w:rPr>
        <w:t xml:space="preserve"> (including visual or auditory recording) if </w:t>
      </w:r>
      <w:r w:rsidR="00796FF9">
        <w:rPr>
          <w:rFonts w:ascii="Arial" w:hAnsi="Arial" w:cs="Arial"/>
          <w:i/>
          <w:sz w:val="20"/>
          <w:szCs w:val="18"/>
        </w:rPr>
        <w:t>at least one</w:t>
      </w:r>
      <w:r w:rsidR="00796FF9">
        <w:rPr>
          <w:rFonts w:ascii="Arial" w:hAnsi="Arial" w:cs="Arial"/>
          <w:sz w:val="20"/>
          <w:szCs w:val="18"/>
        </w:rPr>
        <w:t xml:space="preserve"> of the following criteria is met:</w:t>
      </w:r>
    </w:p>
    <w:p w:rsidR="00796FF9" w:rsidRPr="005F49A3" w:rsidRDefault="00796FF9" w:rsidP="005F49A3">
      <w:pPr>
        <w:pStyle w:val="ListParagraph"/>
        <w:numPr>
          <w:ilvl w:val="2"/>
          <w:numId w:val="11"/>
        </w:numPr>
        <w:rPr>
          <w:rFonts w:ascii="Arial" w:hAnsi="Arial" w:cs="Arial"/>
          <w:sz w:val="20"/>
          <w:szCs w:val="18"/>
        </w:rPr>
      </w:pPr>
      <w:r w:rsidRPr="005F49A3">
        <w:rPr>
          <w:rFonts w:ascii="Arial" w:hAnsi="Arial" w:cs="Arial"/>
          <w:sz w:val="20"/>
          <w:szCs w:val="18"/>
        </w:rPr>
        <w:t xml:space="preserve">The </w:t>
      </w:r>
      <w:r w:rsidR="00AA2C89" w:rsidRPr="005F49A3">
        <w:rPr>
          <w:rFonts w:ascii="Arial" w:hAnsi="Arial" w:cs="Arial"/>
          <w:sz w:val="20"/>
          <w:szCs w:val="18"/>
        </w:rPr>
        <w:t xml:space="preserve">information obtained is recorded </w:t>
      </w:r>
      <w:r w:rsidRPr="005F49A3">
        <w:rPr>
          <w:rFonts w:ascii="Arial" w:hAnsi="Arial" w:cs="Arial"/>
          <w:sz w:val="20"/>
          <w:szCs w:val="18"/>
        </w:rPr>
        <w:t xml:space="preserve">by the investigator </w:t>
      </w:r>
      <w:r w:rsidR="00AA2C89" w:rsidRPr="005F49A3">
        <w:rPr>
          <w:rFonts w:ascii="Arial" w:hAnsi="Arial" w:cs="Arial"/>
          <w:sz w:val="20"/>
          <w:szCs w:val="18"/>
        </w:rPr>
        <w:t xml:space="preserve">in such a manner that </w:t>
      </w:r>
      <w:r w:rsidRPr="005F49A3">
        <w:rPr>
          <w:rFonts w:ascii="Arial" w:hAnsi="Arial" w:cs="Arial"/>
          <w:sz w:val="20"/>
          <w:szCs w:val="18"/>
        </w:rPr>
        <w:t xml:space="preserve">the identity of the </w:t>
      </w:r>
      <w:r w:rsidR="00AA2C89" w:rsidRPr="005F49A3">
        <w:rPr>
          <w:rFonts w:ascii="Arial" w:hAnsi="Arial" w:cs="Arial"/>
          <w:sz w:val="20"/>
          <w:szCs w:val="18"/>
        </w:rPr>
        <w:t xml:space="preserve">human subjects </w:t>
      </w:r>
      <w:r w:rsidRPr="005F49A3">
        <w:rPr>
          <w:rFonts w:ascii="Arial" w:hAnsi="Arial" w:cs="Arial"/>
          <w:sz w:val="20"/>
          <w:szCs w:val="18"/>
        </w:rPr>
        <w:t xml:space="preserve">cannot be readily ascertained, </w:t>
      </w:r>
      <w:r w:rsidR="00AA2C89" w:rsidRPr="005F49A3">
        <w:rPr>
          <w:rFonts w:ascii="Arial" w:hAnsi="Arial" w:cs="Arial"/>
          <w:sz w:val="20"/>
          <w:szCs w:val="18"/>
        </w:rPr>
        <w:t xml:space="preserve"> directly or through identifiers linked to the subjects;</w:t>
      </w:r>
    </w:p>
    <w:p w:rsidR="00796FF9" w:rsidRDefault="00796FF9" w:rsidP="005F49A3">
      <w:pPr>
        <w:pStyle w:val="ListParagraph"/>
        <w:numPr>
          <w:ilvl w:val="2"/>
          <w:numId w:val="11"/>
        </w:numPr>
        <w:rPr>
          <w:rFonts w:ascii="Arial" w:hAnsi="Arial" w:cs="Arial"/>
          <w:sz w:val="20"/>
          <w:szCs w:val="18"/>
        </w:rPr>
      </w:pPr>
      <w:r>
        <w:rPr>
          <w:rFonts w:ascii="Arial" w:hAnsi="Arial" w:cs="Arial"/>
          <w:sz w:val="20"/>
          <w:szCs w:val="18"/>
        </w:rPr>
        <w:t>A</w:t>
      </w:r>
      <w:r w:rsidR="00AA2C89" w:rsidRPr="005F49A3">
        <w:rPr>
          <w:rFonts w:ascii="Arial" w:hAnsi="Arial" w:cs="Arial"/>
          <w:sz w:val="20"/>
          <w:szCs w:val="18"/>
        </w:rPr>
        <w:t xml:space="preserve">ny disclosure of the human subjects' responses outside the research </w:t>
      </w:r>
      <w:r>
        <w:rPr>
          <w:rFonts w:ascii="Arial" w:hAnsi="Arial" w:cs="Arial"/>
          <w:sz w:val="20"/>
          <w:szCs w:val="18"/>
        </w:rPr>
        <w:t>would not</w:t>
      </w:r>
      <w:r w:rsidRPr="005F49A3">
        <w:rPr>
          <w:rFonts w:ascii="Arial" w:hAnsi="Arial" w:cs="Arial"/>
          <w:sz w:val="20"/>
          <w:szCs w:val="18"/>
        </w:rPr>
        <w:t xml:space="preserve"> </w:t>
      </w:r>
      <w:r w:rsidR="00AA2C89" w:rsidRPr="005F49A3">
        <w:rPr>
          <w:rFonts w:ascii="Arial" w:hAnsi="Arial" w:cs="Arial"/>
          <w:sz w:val="20"/>
          <w:szCs w:val="18"/>
        </w:rPr>
        <w:t>reasonably place the subjects at risk of criminal or civil liability or be damaging to the subjects' financial standing, employability, or reputation</w:t>
      </w:r>
      <w:r>
        <w:rPr>
          <w:rFonts w:ascii="Arial" w:hAnsi="Arial" w:cs="Arial"/>
          <w:sz w:val="20"/>
          <w:szCs w:val="18"/>
        </w:rPr>
        <w:t>; or</w:t>
      </w:r>
    </w:p>
    <w:p w:rsidR="00E70EB8" w:rsidRDefault="00796FF9" w:rsidP="005F49A3">
      <w:pPr>
        <w:pStyle w:val="ListParagraph"/>
        <w:numPr>
          <w:ilvl w:val="2"/>
          <w:numId w:val="11"/>
        </w:numPr>
        <w:rPr>
          <w:rFonts w:ascii="Arial" w:hAnsi="Arial" w:cs="Arial"/>
          <w:sz w:val="20"/>
          <w:szCs w:val="18"/>
        </w:rPr>
      </w:pPr>
      <w:r>
        <w:rPr>
          <w:rFonts w:ascii="Arial" w:hAnsi="Arial" w:cs="Arial"/>
          <w:sz w:val="20"/>
          <w:szCs w:val="18"/>
        </w:rPr>
        <w:t xml:space="preserve">The information obtained is recorded by the investigator in such a manner that the identity of the human subjects can readily be ascertained, directly or through identifiers linked to the subjects, and an IRB conducts a </w:t>
      </w:r>
      <w:r w:rsidRPr="005F49A3">
        <w:rPr>
          <w:rFonts w:ascii="Arial" w:hAnsi="Arial" w:cs="Arial"/>
          <w:i/>
          <w:sz w:val="20"/>
          <w:szCs w:val="18"/>
        </w:rPr>
        <w:t>limited IRB review</w:t>
      </w:r>
      <w:r>
        <w:rPr>
          <w:rFonts w:ascii="Arial" w:hAnsi="Arial" w:cs="Arial"/>
          <w:sz w:val="20"/>
          <w:szCs w:val="18"/>
        </w:rPr>
        <w:t>.</w:t>
      </w:r>
    </w:p>
    <w:p w:rsidR="00E70EB8" w:rsidRDefault="00E70EB8" w:rsidP="005F49A3">
      <w:pPr>
        <w:pStyle w:val="ListParagraph"/>
        <w:ind w:left="2700"/>
        <w:rPr>
          <w:rFonts w:ascii="Arial" w:hAnsi="Arial" w:cs="Arial"/>
          <w:sz w:val="20"/>
          <w:szCs w:val="18"/>
        </w:rPr>
      </w:pPr>
    </w:p>
    <w:p w:rsidR="00AA2C89" w:rsidRPr="005F49A3" w:rsidRDefault="00E70EB8" w:rsidP="005F49A3">
      <w:pPr>
        <w:pStyle w:val="ListParagraph"/>
        <w:numPr>
          <w:ilvl w:val="0"/>
          <w:numId w:val="14"/>
        </w:numPr>
        <w:ind w:left="3060"/>
        <w:rPr>
          <w:rFonts w:ascii="Arial" w:hAnsi="Arial" w:cs="Arial"/>
          <w:sz w:val="20"/>
          <w:szCs w:val="18"/>
        </w:rPr>
      </w:pPr>
      <w:r w:rsidRPr="00556D37">
        <w:rPr>
          <w:rFonts w:ascii="Arial" w:hAnsi="Arial" w:cs="Arial"/>
          <w:sz w:val="20"/>
          <w:szCs w:val="18"/>
        </w:rPr>
        <w:t xml:space="preserve">Note: </w:t>
      </w:r>
      <w:r>
        <w:rPr>
          <w:rFonts w:ascii="Arial" w:hAnsi="Arial" w:cs="Arial"/>
          <w:sz w:val="20"/>
          <w:szCs w:val="18"/>
        </w:rPr>
        <w:t>Children may not be included as subjects in this category except for research involving observation of public behavior when the investigator(s) do not participate in the activities being observed. Children may not be included in projects under 2(iii).</w:t>
      </w:r>
    </w:p>
    <w:p w:rsidR="00AA2C89" w:rsidRDefault="00AA2C89" w:rsidP="00AA2C89">
      <w:pPr>
        <w:rPr>
          <w:rFonts w:ascii="Arial" w:hAnsi="Arial" w:cs="Arial"/>
          <w:sz w:val="20"/>
          <w:szCs w:val="18"/>
        </w:rPr>
      </w:pPr>
    </w:p>
    <w:p w:rsidR="00796FF9" w:rsidRDefault="00AA2C89" w:rsidP="00AA2C89">
      <w:pPr>
        <w:ind w:left="1800"/>
        <w:rPr>
          <w:rFonts w:ascii="Arial" w:hAnsi="Arial" w:cs="Arial"/>
          <w:sz w:val="20"/>
        </w:rPr>
      </w:pPr>
      <w:r>
        <w:rPr>
          <w:rFonts w:ascii="Arial" w:hAnsi="Arial" w:cs="Arial"/>
          <w:b/>
          <w:bCs/>
          <w:sz w:val="20"/>
        </w:rPr>
        <w:t>Category 3.</w:t>
      </w:r>
      <w:r>
        <w:rPr>
          <w:rFonts w:ascii="Arial" w:hAnsi="Arial" w:cs="Arial"/>
          <w:sz w:val="20"/>
        </w:rPr>
        <w:t xml:space="preserve">  </w:t>
      </w:r>
      <w:r w:rsidR="00796FF9">
        <w:rPr>
          <w:rFonts w:ascii="Arial" w:hAnsi="Arial" w:cs="Arial"/>
          <w:sz w:val="20"/>
        </w:rPr>
        <w:t xml:space="preserve">Research involving benign behavioral interventions in conjunction with the collection of information from an adult subject through verbal or written responses (including data entry) or audiovisual recording if the subject prospectively agrees to </w:t>
      </w:r>
      <w:r w:rsidR="00796FF9">
        <w:rPr>
          <w:rFonts w:ascii="Arial" w:hAnsi="Arial" w:cs="Arial"/>
          <w:sz w:val="20"/>
        </w:rPr>
        <w:lastRenderedPageBreak/>
        <w:t>the intervention and information collection and at least one of the following criteria is met:</w:t>
      </w:r>
    </w:p>
    <w:p w:rsidR="00796FF9" w:rsidRDefault="00796FF9" w:rsidP="005F49A3">
      <w:pPr>
        <w:pStyle w:val="ListParagraph"/>
        <w:numPr>
          <w:ilvl w:val="0"/>
          <w:numId w:val="9"/>
        </w:numPr>
        <w:rPr>
          <w:rFonts w:ascii="Arial" w:hAnsi="Arial" w:cs="Arial"/>
          <w:sz w:val="20"/>
          <w:szCs w:val="18"/>
        </w:rPr>
      </w:pPr>
      <w:r>
        <w:rPr>
          <w:rFonts w:ascii="Arial" w:hAnsi="Arial" w:cs="Arial"/>
          <w:sz w:val="20"/>
          <w:szCs w:val="18"/>
        </w:rPr>
        <w:t>The information obtained is recorded by the investigator in such a manner that the identity of the human subjects cannot readily be ascertained, directly or through identifiers linked to the subjects;</w:t>
      </w:r>
    </w:p>
    <w:p w:rsidR="00796FF9" w:rsidRDefault="00796FF9" w:rsidP="005F49A3">
      <w:pPr>
        <w:pStyle w:val="ListParagraph"/>
        <w:numPr>
          <w:ilvl w:val="0"/>
          <w:numId w:val="9"/>
        </w:numPr>
        <w:rPr>
          <w:rFonts w:ascii="Arial" w:hAnsi="Arial" w:cs="Arial"/>
          <w:sz w:val="20"/>
          <w:szCs w:val="18"/>
        </w:rPr>
      </w:pPr>
      <w:r>
        <w:rPr>
          <w:rFonts w:ascii="Arial" w:hAnsi="Arial" w:cs="Arial"/>
          <w:sz w:val="20"/>
          <w:szCs w:val="18"/>
        </w:rPr>
        <w:t>Any disclosure of the human subjects’ responses outside the research would not reasonably place the subjects at risk of criminal or civil liability or be damaging to the subjects’ financial standing, employability, educational advancement, or reputation; or</w:t>
      </w:r>
    </w:p>
    <w:p w:rsidR="00E70EB8" w:rsidRDefault="00796FF9" w:rsidP="005F49A3">
      <w:pPr>
        <w:pStyle w:val="ListParagraph"/>
        <w:numPr>
          <w:ilvl w:val="0"/>
          <w:numId w:val="9"/>
        </w:numPr>
        <w:rPr>
          <w:rFonts w:ascii="Arial" w:hAnsi="Arial" w:cs="Arial"/>
          <w:sz w:val="20"/>
          <w:szCs w:val="18"/>
        </w:rPr>
      </w:pPr>
      <w:r>
        <w:rPr>
          <w:rFonts w:ascii="Arial" w:hAnsi="Arial" w:cs="Arial"/>
          <w:sz w:val="20"/>
          <w:szCs w:val="18"/>
        </w:rPr>
        <w:t xml:space="preserve">The information obtained is recorded by the investigator in such a manner that the identity of the human subjects can readily be ascertained, directly or through identifiers linked to the subjects, and an IRB conducts a </w:t>
      </w:r>
      <w:r w:rsidRPr="005F49A3">
        <w:rPr>
          <w:rFonts w:ascii="Arial" w:hAnsi="Arial" w:cs="Arial"/>
          <w:i/>
          <w:sz w:val="20"/>
          <w:szCs w:val="18"/>
        </w:rPr>
        <w:t>limited IRB review</w:t>
      </w:r>
      <w:r>
        <w:rPr>
          <w:rFonts w:ascii="Arial" w:hAnsi="Arial" w:cs="Arial"/>
          <w:sz w:val="20"/>
          <w:szCs w:val="18"/>
        </w:rPr>
        <w:t>.</w:t>
      </w:r>
    </w:p>
    <w:p w:rsidR="00D01623" w:rsidRDefault="00D01623" w:rsidP="005F49A3">
      <w:pPr>
        <w:pStyle w:val="ListParagraph"/>
        <w:ind w:left="2880"/>
        <w:rPr>
          <w:rFonts w:ascii="Arial" w:hAnsi="Arial" w:cs="Arial"/>
          <w:sz w:val="20"/>
          <w:szCs w:val="18"/>
        </w:rPr>
      </w:pPr>
    </w:p>
    <w:p w:rsidR="00D01623" w:rsidRDefault="00603C8B" w:rsidP="005F49A3">
      <w:pPr>
        <w:pStyle w:val="ListParagraph"/>
        <w:ind w:left="2160"/>
        <w:rPr>
          <w:rFonts w:ascii="Arial" w:hAnsi="Arial" w:cs="Arial"/>
          <w:sz w:val="20"/>
          <w:szCs w:val="18"/>
        </w:rPr>
      </w:pPr>
      <w:r>
        <w:rPr>
          <w:rFonts w:ascii="Arial" w:hAnsi="Arial" w:cs="Arial"/>
          <w:sz w:val="20"/>
          <w:szCs w:val="18"/>
        </w:rPr>
        <w:t>(ii)</w:t>
      </w:r>
      <w:r w:rsidR="00D01623">
        <w:rPr>
          <w:rFonts w:ascii="Arial" w:hAnsi="Arial" w:cs="Arial"/>
          <w:sz w:val="20"/>
          <w:szCs w:val="18"/>
        </w:rPr>
        <w:t xml:space="preserve"> </w:t>
      </w:r>
      <w:r w:rsidR="00D01623" w:rsidRPr="00D01623">
        <w:rPr>
          <w:rFonts w:ascii="Arial" w:hAnsi="Arial" w:cs="Arial"/>
          <w:sz w:val="20"/>
          <w:szCs w:val="18"/>
        </w:rPr>
        <w:t>For the purpose of this provision, benign behavioral interventions are brief in duration, harmless, painless, not physically invasive, not likely to have a significant adverse lasting</w:t>
      </w:r>
      <w:r w:rsidR="00D01623">
        <w:rPr>
          <w:rFonts w:ascii="Arial" w:hAnsi="Arial" w:cs="Arial"/>
          <w:sz w:val="20"/>
          <w:szCs w:val="18"/>
        </w:rPr>
        <w:t xml:space="preserve"> </w:t>
      </w:r>
      <w:r w:rsidR="00D01623" w:rsidRPr="00D01623">
        <w:rPr>
          <w:rFonts w:ascii="Arial" w:hAnsi="Arial" w:cs="Arial"/>
          <w:sz w:val="20"/>
          <w:szCs w:val="18"/>
        </w:rPr>
        <w:t>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rsidR="00D01623" w:rsidRDefault="00D01623" w:rsidP="005F49A3">
      <w:pPr>
        <w:pStyle w:val="ListParagraph"/>
        <w:ind w:left="2160"/>
        <w:rPr>
          <w:rFonts w:ascii="Arial" w:hAnsi="Arial" w:cs="Arial"/>
          <w:sz w:val="20"/>
          <w:szCs w:val="18"/>
        </w:rPr>
      </w:pPr>
    </w:p>
    <w:p w:rsidR="00D01623" w:rsidRDefault="00D01623" w:rsidP="005F49A3">
      <w:pPr>
        <w:pStyle w:val="ListParagraph"/>
        <w:ind w:left="2160"/>
        <w:rPr>
          <w:rFonts w:ascii="Arial" w:hAnsi="Arial" w:cs="Arial"/>
          <w:sz w:val="20"/>
          <w:szCs w:val="18"/>
        </w:rPr>
      </w:pPr>
      <w:r w:rsidRPr="00D01623">
        <w:rPr>
          <w:rFonts w:ascii="Arial" w:hAnsi="Arial" w:cs="Arial"/>
          <w:sz w:val="20"/>
          <w:szCs w:val="18"/>
        </w:rP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rsidR="00D01623" w:rsidRDefault="00D01623" w:rsidP="005F49A3">
      <w:pPr>
        <w:pStyle w:val="ListParagraph"/>
        <w:ind w:left="2880"/>
        <w:rPr>
          <w:rFonts w:ascii="Arial" w:hAnsi="Arial" w:cs="Arial"/>
          <w:sz w:val="20"/>
          <w:szCs w:val="18"/>
        </w:rPr>
      </w:pPr>
    </w:p>
    <w:p w:rsidR="00E70EB8" w:rsidRPr="005F49A3" w:rsidRDefault="00E70EB8" w:rsidP="005F49A3">
      <w:pPr>
        <w:pStyle w:val="ListParagraph"/>
        <w:numPr>
          <w:ilvl w:val="0"/>
          <w:numId w:val="14"/>
        </w:numPr>
        <w:ind w:left="3240"/>
        <w:rPr>
          <w:rFonts w:ascii="Arial" w:hAnsi="Arial" w:cs="Arial"/>
          <w:sz w:val="20"/>
          <w:szCs w:val="18"/>
        </w:rPr>
      </w:pPr>
      <w:r w:rsidRPr="005F49A3">
        <w:rPr>
          <w:rFonts w:ascii="Arial" w:hAnsi="Arial" w:cs="Arial"/>
          <w:sz w:val="20"/>
          <w:szCs w:val="18"/>
        </w:rPr>
        <w:t xml:space="preserve">Note: Children may not be included </w:t>
      </w:r>
      <w:r>
        <w:rPr>
          <w:rFonts w:ascii="Arial" w:hAnsi="Arial" w:cs="Arial"/>
          <w:sz w:val="20"/>
          <w:szCs w:val="18"/>
        </w:rPr>
        <w:t>in this category.</w:t>
      </w:r>
    </w:p>
    <w:p w:rsidR="00AA2C89" w:rsidRPr="005F49A3" w:rsidRDefault="00AA2C89" w:rsidP="005F49A3">
      <w:pPr>
        <w:pStyle w:val="ListParagraph"/>
        <w:ind w:left="2880"/>
        <w:rPr>
          <w:rFonts w:ascii="Arial" w:hAnsi="Arial" w:cs="Arial"/>
          <w:sz w:val="20"/>
          <w:szCs w:val="18"/>
        </w:rPr>
      </w:pPr>
    </w:p>
    <w:p w:rsidR="00AA2C89" w:rsidRDefault="00AA2C89" w:rsidP="00AA2C89">
      <w:pPr>
        <w:rPr>
          <w:rFonts w:ascii="Arial" w:hAnsi="Arial" w:cs="Arial"/>
          <w:sz w:val="20"/>
          <w:szCs w:val="18"/>
        </w:rPr>
      </w:pPr>
    </w:p>
    <w:p w:rsidR="00AA2C89" w:rsidRDefault="00AA2C89" w:rsidP="00AA2C89">
      <w:pPr>
        <w:ind w:left="1800"/>
        <w:rPr>
          <w:rFonts w:ascii="Arial" w:hAnsi="Arial" w:cs="Arial"/>
          <w:sz w:val="20"/>
          <w:szCs w:val="18"/>
        </w:rPr>
      </w:pPr>
      <w:r>
        <w:rPr>
          <w:rFonts w:ascii="Arial" w:hAnsi="Arial" w:cs="Arial"/>
          <w:b/>
          <w:bCs/>
          <w:sz w:val="20"/>
          <w:szCs w:val="18"/>
        </w:rPr>
        <w:t>Category 4.</w:t>
      </w:r>
      <w:r>
        <w:rPr>
          <w:rFonts w:ascii="Arial" w:hAnsi="Arial" w:cs="Arial"/>
          <w:sz w:val="20"/>
          <w:szCs w:val="18"/>
        </w:rPr>
        <w:t xml:space="preserve">  </w:t>
      </w:r>
      <w:r w:rsidR="00B50DC1">
        <w:rPr>
          <w:rFonts w:ascii="Arial" w:hAnsi="Arial" w:cs="Arial"/>
          <w:sz w:val="20"/>
          <w:szCs w:val="18"/>
        </w:rPr>
        <w:t>Secondary research for which consent is not required: Secondary research uses of identifiable private information or identifiable biospecimens, if at least one of the following criteria is met:</w:t>
      </w:r>
    </w:p>
    <w:p w:rsidR="00B50DC1" w:rsidRDefault="00B50DC1" w:rsidP="005F49A3">
      <w:pPr>
        <w:pStyle w:val="ListParagraph"/>
        <w:numPr>
          <w:ilvl w:val="0"/>
          <w:numId w:val="10"/>
        </w:numPr>
        <w:rPr>
          <w:rFonts w:ascii="Arial" w:hAnsi="Arial" w:cs="Arial"/>
          <w:sz w:val="20"/>
          <w:szCs w:val="18"/>
        </w:rPr>
      </w:pPr>
      <w:r>
        <w:rPr>
          <w:rFonts w:ascii="Arial" w:hAnsi="Arial" w:cs="Arial"/>
          <w:sz w:val="20"/>
          <w:szCs w:val="18"/>
        </w:rPr>
        <w:t xml:space="preserve">The identifiable private information or identifiable biospecimens are publicly available; </w:t>
      </w:r>
    </w:p>
    <w:p w:rsidR="00B50DC1" w:rsidRDefault="00B50DC1" w:rsidP="005F49A3">
      <w:pPr>
        <w:pStyle w:val="ListParagraph"/>
        <w:numPr>
          <w:ilvl w:val="0"/>
          <w:numId w:val="10"/>
        </w:numPr>
        <w:rPr>
          <w:rFonts w:ascii="Arial" w:hAnsi="Arial" w:cs="Arial"/>
          <w:sz w:val="20"/>
          <w:szCs w:val="18"/>
        </w:rPr>
      </w:pPr>
      <w:r>
        <w:rPr>
          <w:rFonts w:ascii="Arial" w:hAnsi="Arial" w:cs="Arial"/>
          <w:sz w:val="20"/>
          <w:szCs w:val="18"/>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rsidR="00B50DC1" w:rsidRDefault="00B50DC1" w:rsidP="005F49A3">
      <w:pPr>
        <w:pStyle w:val="ListParagraph"/>
        <w:numPr>
          <w:ilvl w:val="0"/>
          <w:numId w:val="10"/>
        </w:numPr>
        <w:rPr>
          <w:rFonts w:ascii="Arial" w:hAnsi="Arial" w:cs="Arial"/>
          <w:sz w:val="20"/>
          <w:szCs w:val="18"/>
        </w:rPr>
      </w:pPr>
      <w:r>
        <w:rPr>
          <w:rFonts w:ascii="Arial" w:hAnsi="Arial" w:cs="Arial"/>
          <w:sz w:val="20"/>
          <w:szCs w:val="18"/>
        </w:rPr>
        <w:t>The research involves only information collection and analysis involving the investigator’s use of identifiable health information when that use is restricted under [HIPAA], for the purposes of “health care operations” or “research” as those terms are defined [by HIPAA] or for “public health activities and purposes” as described under [HIPAA]; or</w:t>
      </w:r>
    </w:p>
    <w:p w:rsidR="00B50DC1" w:rsidRDefault="00B50DC1" w:rsidP="005F49A3">
      <w:pPr>
        <w:pStyle w:val="ListParagraph"/>
        <w:numPr>
          <w:ilvl w:val="0"/>
          <w:numId w:val="10"/>
        </w:numPr>
        <w:rPr>
          <w:rFonts w:ascii="Arial" w:hAnsi="Arial" w:cs="Arial"/>
          <w:sz w:val="20"/>
          <w:szCs w:val="18"/>
        </w:rPr>
      </w:pPr>
      <w:r>
        <w:rPr>
          <w:rFonts w:ascii="Arial" w:hAnsi="Arial" w:cs="Arial"/>
          <w:sz w:val="20"/>
          <w:szCs w:val="18"/>
        </w:rPr>
        <w:t>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the E-Government Act, if all the identifiable private information collected, used, or generated as part of the activity will be maintained in systems of records subject to the Privacy Act and, if applicable, the information used in the research was collected subject to the Paperwork Reduction Act.</w:t>
      </w:r>
    </w:p>
    <w:p w:rsidR="00B50DC1" w:rsidRPr="005F49A3" w:rsidRDefault="00B50DC1" w:rsidP="005F49A3">
      <w:pPr>
        <w:pStyle w:val="ListParagraph"/>
        <w:ind w:left="2520"/>
        <w:rPr>
          <w:rFonts w:ascii="Arial" w:hAnsi="Arial" w:cs="Arial"/>
          <w:sz w:val="20"/>
          <w:szCs w:val="18"/>
        </w:rPr>
      </w:pPr>
    </w:p>
    <w:p w:rsidR="00FB4E58" w:rsidRDefault="00FB4E58" w:rsidP="00AA2C89">
      <w:pPr>
        <w:numPr>
          <w:ilvl w:val="3"/>
          <w:numId w:val="2"/>
        </w:numPr>
        <w:ind w:right="720"/>
        <w:rPr>
          <w:rFonts w:ascii="Arial" w:hAnsi="Arial" w:cs="Arial"/>
          <w:sz w:val="20"/>
          <w:szCs w:val="18"/>
        </w:rPr>
      </w:pPr>
      <w:r>
        <w:rPr>
          <w:rFonts w:ascii="Arial" w:hAnsi="Arial" w:cs="Arial"/>
          <w:sz w:val="20"/>
          <w:szCs w:val="18"/>
        </w:rPr>
        <w:t xml:space="preserve">This category only applies to the </w:t>
      </w:r>
      <w:r>
        <w:rPr>
          <w:rFonts w:ascii="Arial" w:hAnsi="Arial" w:cs="Arial"/>
          <w:i/>
          <w:sz w:val="20"/>
          <w:szCs w:val="18"/>
        </w:rPr>
        <w:t>re-use</w:t>
      </w:r>
      <w:r>
        <w:rPr>
          <w:rFonts w:ascii="Arial" w:hAnsi="Arial" w:cs="Arial"/>
          <w:sz w:val="20"/>
          <w:szCs w:val="18"/>
        </w:rPr>
        <w:t xml:space="preserve"> of data and specimens that were or will be collected for </w:t>
      </w:r>
      <w:r w:rsidRPr="005F49A3">
        <w:rPr>
          <w:rFonts w:ascii="Arial" w:hAnsi="Arial" w:cs="Arial"/>
          <w:i/>
          <w:sz w:val="20"/>
          <w:szCs w:val="18"/>
        </w:rPr>
        <w:t>nonresearch purposes</w:t>
      </w:r>
      <w:r>
        <w:rPr>
          <w:rFonts w:ascii="Arial" w:hAnsi="Arial" w:cs="Arial"/>
          <w:sz w:val="20"/>
          <w:szCs w:val="18"/>
        </w:rPr>
        <w:t xml:space="preserve"> or from previously approved research studies other than the proposed research study. </w:t>
      </w:r>
    </w:p>
    <w:p w:rsidR="00AA2C89" w:rsidRDefault="00FB4E58" w:rsidP="005F49A3">
      <w:pPr>
        <w:numPr>
          <w:ilvl w:val="4"/>
          <w:numId w:val="2"/>
        </w:numPr>
        <w:tabs>
          <w:tab w:val="clear" w:pos="4320"/>
        </w:tabs>
        <w:ind w:left="3330" w:right="720"/>
        <w:rPr>
          <w:rFonts w:ascii="Arial" w:hAnsi="Arial" w:cs="Arial"/>
          <w:sz w:val="20"/>
          <w:szCs w:val="18"/>
        </w:rPr>
      </w:pPr>
      <w:r>
        <w:rPr>
          <w:rFonts w:ascii="Arial" w:hAnsi="Arial" w:cs="Arial"/>
          <w:sz w:val="20"/>
          <w:szCs w:val="18"/>
        </w:rPr>
        <w:t>The research materials typically will be publicly available materials, medical records or existing repositories of clinical specimens.</w:t>
      </w:r>
    </w:p>
    <w:p w:rsidR="00FB4E58" w:rsidRDefault="00FB4E58" w:rsidP="005F49A3">
      <w:pPr>
        <w:numPr>
          <w:ilvl w:val="4"/>
          <w:numId w:val="2"/>
        </w:numPr>
        <w:tabs>
          <w:tab w:val="clear" w:pos="4320"/>
        </w:tabs>
        <w:ind w:left="3330" w:right="720"/>
        <w:rPr>
          <w:rFonts w:ascii="Arial" w:hAnsi="Arial" w:cs="Arial"/>
          <w:sz w:val="20"/>
          <w:szCs w:val="18"/>
        </w:rPr>
      </w:pPr>
      <w:r w:rsidRPr="005F49A3">
        <w:rPr>
          <w:rFonts w:ascii="Arial" w:hAnsi="Arial" w:cs="Arial"/>
          <w:b/>
          <w:sz w:val="20"/>
          <w:szCs w:val="18"/>
        </w:rPr>
        <w:t>No contact between the investigator and subject is allowed.</w:t>
      </w:r>
      <w:r>
        <w:rPr>
          <w:rFonts w:ascii="Arial" w:hAnsi="Arial" w:cs="Arial"/>
          <w:sz w:val="20"/>
          <w:szCs w:val="18"/>
        </w:rPr>
        <w:t xml:space="preserve"> If an investigator wants to collect information/specimens directly from research subjects, then the study will need to be approved under the Expedited categories or Fullboard review.</w:t>
      </w:r>
    </w:p>
    <w:p w:rsidR="00AA2C89" w:rsidRPr="00E04DA6" w:rsidRDefault="00AA2C89" w:rsidP="00AA2C89">
      <w:pPr>
        <w:numPr>
          <w:ilvl w:val="3"/>
          <w:numId w:val="2"/>
        </w:numPr>
        <w:ind w:right="720"/>
        <w:rPr>
          <w:rFonts w:ascii="Arial" w:hAnsi="Arial" w:cs="Arial"/>
          <w:sz w:val="20"/>
          <w:szCs w:val="18"/>
        </w:rPr>
      </w:pPr>
      <w:r>
        <w:rPr>
          <w:rFonts w:ascii="Arial" w:hAnsi="Arial" w:cs="Arial"/>
          <w:sz w:val="20"/>
          <w:szCs w:val="18"/>
        </w:rPr>
        <w:t xml:space="preserve">Examples </w:t>
      </w:r>
      <w:r w:rsidRPr="0026306B">
        <w:rPr>
          <w:rFonts w:ascii="Arial" w:hAnsi="Arial" w:cs="Arial"/>
          <w:sz w:val="20"/>
          <w:szCs w:val="18"/>
        </w:rPr>
        <w:t>of publicly available information:  driver's license and court records</w:t>
      </w:r>
      <w:r w:rsidRPr="00E04DA6">
        <w:rPr>
          <w:rFonts w:ascii="Arial" w:hAnsi="Arial" w:cs="Arial"/>
          <w:sz w:val="20"/>
          <w:szCs w:val="18"/>
        </w:rPr>
        <w:t>.</w:t>
      </w:r>
    </w:p>
    <w:p w:rsidR="00AA2C89" w:rsidRPr="0026306B" w:rsidRDefault="00603C8B" w:rsidP="00AA2C89">
      <w:pPr>
        <w:numPr>
          <w:ilvl w:val="3"/>
          <w:numId w:val="2"/>
        </w:numPr>
        <w:ind w:right="720"/>
        <w:rPr>
          <w:rFonts w:ascii="Arial" w:hAnsi="Arial" w:cs="Arial"/>
          <w:sz w:val="20"/>
          <w:szCs w:val="18"/>
        </w:rPr>
      </w:pPr>
      <w:r>
        <w:rPr>
          <w:rFonts w:ascii="Arial" w:hAnsi="Arial" w:cs="Arial"/>
          <w:sz w:val="20"/>
          <w:szCs w:val="20"/>
          <w:shd w:val="clear" w:color="auto" w:fill="FFFFFF"/>
        </w:rPr>
        <w:t>Note</w:t>
      </w:r>
      <w:r w:rsidR="00AA2C89" w:rsidRPr="004F023E">
        <w:rPr>
          <w:rFonts w:ascii="Arial" w:hAnsi="Arial" w:cs="Arial"/>
          <w:sz w:val="20"/>
          <w:szCs w:val="20"/>
          <w:shd w:val="clear" w:color="auto" w:fill="FFFFFF"/>
        </w:rPr>
        <w:t>:</w:t>
      </w:r>
      <w:r w:rsidR="00AA2C89" w:rsidRPr="004F023E">
        <w:rPr>
          <w:rStyle w:val="apple-converted-space"/>
          <w:rFonts w:ascii="Arial" w:hAnsi="Arial" w:cs="Arial"/>
          <w:sz w:val="20"/>
          <w:szCs w:val="20"/>
          <w:shd w:val="clear" w:color="auto" w:fill="FFFFFF"/>
        </w:rPr>
        <w:t> </w:t>
      </w:r>
      <w:r w:rsidR="00AA2C89" w:rsidRPr="004F023E">
        <w:rPr>
          <w:rFonts w:ascii="Arial" w:hAnsi="Arial" w:cs="Arial"/>
          <w:sz w:val="20"/>
          <w:szCs w:val="20"/>
          <w:shd w:val="clear" w:color="auto" w:fill="FFFFFF"/>
        </w:rPr>
        <w:t>If data are to be submitted to the FDA or held for inspection by the FDA in support of a new product or use, please use the Biomedical Expedited/Full form.</w:t>
      </w:r>
    </w:p>
    <w:p w:rsidR="00AA2C89" w:rsidRPr="00E04DA6" w:rsidRDefault="00AA2C89" w:rsidP="00AA2C89">
      <w:pPr>
        <w:ind w:left="3240" w:right="720"/>
        <w:rPr>
          <w:rFonts w:ascii="Arial" w:hAnsi="Arial" w:cs="Arial"/>
          <w:sz w:val="20"/>
          <w:szCs w:val="18"/>
        </w:rPr>
      </w:pPr>
    </w:p>
    <w:p w:rsidR="00F15FC9" w:rsidRDefault="00AA2C89" w:rsidP="00AA2C89">
      <w:pPr>
        <w:ind w:left="1770"/>
        <w:rPr>
          <w:rFonts w:ascii="Arial" w:hAnsi="Arial" w:cs="Arial"/>
          <w:sz w:val="20"/>
          <w:szCs w:val="18"/>
        </w:rPr>
      </w:pPr>
      <w:r>
        <w:rPr>
          <w:rFonts w:ascii="Arial" w:hAnsi="Arial" w:cs="Arial"/>
          <w:b/>
          <w:bCs/>
          <w:sz w:val="20"/>
          <w:szCs w:val="18"/>
        </w:rPr>
        <w:t>Category 5.</w:t>
      </w:r>
      <w:r>
        <w:rPr>
          <w:rFonts w:ascii="Arial" w:hAnsi="Arial" w:cs="Arial"/>
          <w:sz w:val="20"/>
          <w:szCs w:val="18"/>
        </w:rPr>
        <w:t xml:space="preserve">  Research and demonstration projects </w:t>
      </w:r>
      <w:r w:rsidR="00F15FC9">
        <w:rPr>
          <w:rFonts w:ascii="Arial" w:hAnsi="Arial" w:cs="Arial"/>
          <w:sz w:val="20"/>
          <w:szCs w:val="18"/>
        </w:rPr>
        <w:t xml:space="preserve">that </w:t>
      </w:r>
      <w:r>
        <w:rPr>
          <w:rFonts w:ascii="Arial" w:hAnsi="Arial" w:cs="Arial"/>
          <w:sz w:val="20"/>
          <w:szCs w:val="18"/>
        </w:rPr>
        <w:t>are conducted</w:t>
      </w:r>
      <w:r w:rsidR="00F15FC9">
        <w:rPr>
          <w:rFonts w:ascii="Arial" w:hAnsi="Arial" w:cs="Arial"/>
          <w:sz w:val="20"/>
          <w:szCs w:val="18"/>
        </w:rPr>
        <w:t xml:space="preserve"> or supported by a Federal department or agency, or otherwise</w:t>
      </w:r>
      <w:r>
        <w:rPr>
          <w:rFonts w:ascii="Arial" w:hAnsi="Arial" w:cs="Arial"/>
          <w:sz w:val="20"/>
          <w:szCs w:val="18"/>
        </w:rPr>
        <w:t xml:space="preserve"> subject to the approval of Department or Agency heads</w:t>
      </w:r>
      <w:r w:rsidR="00F15FC9">
        <w:rPr>
          <w:rFonts w:ascii="Arial" w:hAnsi="Arial" w:cs="Arial"/>
          <w:sz w:val="20"/>
          <w:szCs w:val="18"/>
        </w:rPr>
        <w:t xml:space="preserve"> (or the approval of the heads of bureaus or other subordinate agencies that have been delegated authority to conduct the research and demonstration projects), and that</w:t>
      </w:r>
      <w:r>
        <w:rPr>
          <w:rFonts w:ascii="Arial" w:hAnsi="Arial" w:cs="Arial"/>
          <w:sz w:val="20"/>
          <w:szCs w:val="18"/>
        </w:rPr>
        <w:t xml:space="preserve"> are designed to study, evaluate,</w:t>
      </w:r>
      <w:r w:rsidR="00F15FC9">
        <w:rPr>
          <w:rFonts w:ascii="Arial" w:hAnsi="Arial" w:cs="Arial"/>
          <w:sz w:val="20"/>
          <w:szCs w:val="18"/>
        </w:rPr>
        <w:t xml:space="preserve"> improve,</w:t>
      </w:r>
      <w:r>
        <w:rPr>
          <w:rFonts w:ascii="Arial" w:hAnsi="Arial" w:cs="Arial"/>
          <w:sz w:val="20"/>
          <w:szCs w:val="18"/>
        </w:rPr>
        <w:t xml:space="preserve"> or otherwise examine:  </w:t>
      </w:r>
    </w:p>
    <w:p w:rsidR="007D1F0B" w:rsidRPr="005F49A3" w:rsidRDefault="00AA2C89" w:rsidP="005F49A3">
      <w:pPr>
        <w:pStyle w:val="ListParagraph"/>
        <w:numPr>
          <w:ilvl w:val="3"/>
          <w:numId w:val="13"/>
        </w:numPr>
        <w:ind w:left="2520"/>
        <w:rPr>
          <w:rFonts w:ascii="Arial" w:hAnsi="Arial" w:cs="Arial"/>
          <w:sz w:val="20"/>
          <w:szCs w:val="18"/>
        </w:rPr>
      </w:pPr>
      <w:r w:rsidRPr="005F49A3">
        <w:rPr>
          <w:rFonts w:ascii="Arial" w:hAnsi="Arial" w:cs="Arial"/>
          <w:sz w:val="20"/>
          <w:szCs w:val="18"/>
        </w:rPr>
        <w:t>Public benefit or service programs</w:t>
      </w:r>
      <w:r w:rsidR="00F15FC9" w:rsidRPr="005F49A3">
        <w:rPr>
          <w:rFonts w:ascii="Arial" w:hAnsi="Arial" w:cs="Arial"/>
          <w:sz w:val="20"/>
          <w:szCs w:val="18"/>
        </w:rPr>
        <w:t>, including</w:t>
      </w:r>
      <w:r w:rsidRPr="005F49A3">
        <w:rPr>
          <w:rFonts w:ascii="Arial" w:hAnsi="Arial" w:cs="Arial"/>
          <w:sz w:val="20"/>
          <w:szCs w:val="18"/>
        </w:rPr>
        <w:t xml:space="preserve"> procedures for obtaining benefits or services under those programs; </w:t>
      </w:r>
    </w:p>
    <w:p w:rsidR="007D1F0B" w:rsidRDefault="007D1F0B" w:rsidP="005F49A3">
      <w:pPr>
        <w:pStyle w:val="ListParagraph"/>
        <w:numPr>
          <w:ilvl w:val="3"/>
          <w:numId w:val="13"/>
        </w:numPr>
        <w:ind w:left="2520"/>
        <w:rPr>
          <w:rFonts w:ascii="Arial" w:hAnsi="Arial" w:cs="Arial"/>
          <w:sz w:val="20"/>
          <w:szCs w:val="18"/>
        </w:rPr>
      </w:pPr>
      <w:r>
        <w:rPr>
          <w:rFonts w:ascii="Arial" w:hAnsi="Arial" w:cs="Arial"/>
          <w:sz w:val="20"/>
          <w:szCs w:val="18"/>
        </w:rPr>
        <w:t>P</w:t>
      </w:r>
      <w:r w:rsidR="00AA2C89" w:rsidRPr="005F49A3">
        <w:rPr>
          <w:rFonts w:ascii="Arial" w:hAnsi="Arial" w:cs="Arial"/>
          <w:sz w:val="20"/>
          <w:szCs w:val="18"/>
        </w:rPr>
        <w:t xml:space="preserve">ossible changes in or alternatives to those programs or procedures; or </w:t>
      </w:r>
    </w:p>
    <w:p w:rsidR="00AA2C89" w:rsidRDefault="007D1F0B" w:rsidP="005F49A3">
      <w:pPr>
        <w:pStyle w:val="ListParagraph"/>
        <w:numPr>
          <w:ilvl w:val="3"/>
          <w:numId w:val="13"/>
        </w:numPr>
        <w:ind w:left="2520"/>
        <w:rPr>
          <w:rFonts w:ascii="Arial" w:hAnsi="Arial" w:cs="Arial"/>
          <w:sz w:val="20"/>
          <w:szCs w:val="18"/>
        </w:rPr>
      </w:pPr>
      <w:r>
        <w:rPr>
          <w:rFonts w:ascii="Arial" w:hAnsi="Arial" w:cs="Arial"/>
          <w:sz w:val="20"/>
          <w:szCs w:val="18"/>
        </w:rPr>
        <w:t>P</w:t>
      </w:r>
      <w:r w:rsidR="00AA2C89" w:rsidRPr="005F49A3">
        <w:rPr>
          <w:rFonts w:ascii="Arial" w:hAnsi="Arial" w:cs="Arial"/>
          <w:sz w:val="20"/>
          <w:szCs w:val="18"/>
        </w:rPr>
        <w:t>ossible changes in methods or levels of payment for benefits or services under those programs.</w:t>
      </w:r>
    </w:p>
    <w:p w:rsidR="007D1F0B" w:rsidRDefault="007D1F0B" w:rsidP="005F49A3">
      <w:pPr>
        <w:ind w:left="2160"/>
        <w:rPr>
          <w:rFonts w:ascii="Arial" w:hAnsi="Arial" w:cs="Arial"/>
          <w:sz w:val="20"/>
          <w:szCs w:val="18"/>
        </w:rPr>
      </w:pPr>
    </w:p>
    <w:p w:rsidR="007D1F0B" w:rsidRPr="005F49A3" w:rsidRDefault="007D1F0B" w:rsidP="005F49A3">
      <w:pPr>
        <w:ind w:left="2160"/>
        <w:rPr>
          <w:rFonts w:ascii="Arial" w:hAnsi="Arial" w:cs="Arial"/>
          <w:sz w:val="20"/>
          <w:szCs w:val="18"/>
        </w:rPr>
      </w:pPr>
      <w:r>
        <w:rPr>
          <w:rFonts w:ascii="Arial" w:hAnsi="Arial" w:cs="Arial"/>
          <w:sz w:val="20"/>
          <w:szCs w:val="18"/>
        </w:rPr>
        <w:t>Such projects include, but are not limited to, internal studies by Federal employees, and studies under contracts or consulting agreements, cooperative agreements, or grants. Exempt projects also include waivers of otherwise mandatory requirements using authorities such as sections 1115 and 1115A of the Social Security Act, as amended.</w:t>
      </w:r>
    </w:p>
    <w:p w:rsidR="00AA2C89" w:rsidRDefault="00AA2C89" w:rsidP="00AA2C89">
      <w:pPr>
        <w:ind w:left="2340"/>
        <w:rPr>
          <w:rFonts w:ascii="Arial" w:hAnsi="Arial" w:cs="Arial"/>
          <w:sz w:val="20"/>
          <w:szCs w:val="18"/>
        </w:rPr>
      </w:pPr>
    </w:p>
    <w:p w:rsidR="00AA2C89" w:rsidRDefault="00AA2C89" w:rsidP="00AA2C89">
      <w:pPr>
        <w:ind w:left="1800"/>
        <w:rPr>
          <w:rFonts w:ascii="Arial" w:hAnsi="Arial" w:cs="Arial"/>
          <w:sz w:val="20"/>
          <w:szCs w:val="18"/>
        </w:rPr>
      </w:pPr>
      <w:r>
        <w:rPr>
          <w:rFonts w:ascii="Arial" w:hAnsi="Arial" w:cs="Arial"/>
          <w:b/>
          <w:bCs/>
          <w:sz w:val="20"/>
          <w:szCs w:val="18"/>
        </w:rPr>
        <w:t>Category 6.</w:t>
      </w:r>
      <w:r>
        <w:rPr>
          <w:rFonts w:ascii="Arial" w:hAnsi="Arial" w:cs="Arial"/>
          <w:sz w:val="20"/>
          <w:szCs w:val="18"/>
        </w:rPr>
        <w:t xml:space="preserve">  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7D1F0B" w:rsidRDefault="007D1F0B" w:rsidP="00AA2C89">
      <w:pPr>
        <w:ind w:left="1800"/>
        <w:rPr>
          <w:rFonts w:ascii="Arial" w:hAnsi="Arial" w:cs="Arial"/>
          <w:sz w:val="20"/>
        </w:rPr>
      </w:pPr>
    </w:p>
    <w:p w:rsidR="007D1F0B" w:rsidRDefault="007D1F0B" w:rsidP="00AA2C89">
      <w:pPr>
        <w:ind w:left="1800"/>
        <w:rPr>
          <w:rFonts w:ascii="Arial" w:hAnsi="Arial" w:cs="Arial"/>
          <w:sz w:val="20"/>
        </w:rPr>
      </w:pPr>
      <w:r w:rsidRPr="005F49A3">
        <w:rPr>
          <w:rFonts w:ascii="Arial" w:hAnsi="Arial" w:cs="Arial"/>
          <w:b/>
          <w:sz w:val="20"/>
        </w:rPr>
        <w:t>Category 7.</w:t>
      </w:r>
      <w:r>
        <w:rPr>
          <w:rFonts w:ascii="Arial" w:hAnsi="Arial" w:cs="Arial"/>
          <w:sz w:val="20"/>
        </w:rPr>
        <w:t xml:space="preserve"> Category 7 is new with the revisions to the Common Rule (implemented January 21, 2019). It will be implemented at SLU when capacity to meet the regulatory requirements has been confirmed.</w:t>
      </w:r>
    </w:p>
    <w:p w:rsidR="007D1F0B" w:rsidRDefault="007D1F0B" w:rsidP="00AA2C89">
      <w:pPr>
        <w:ind w:left="1800"/>
        <w:rPr>
          <w:rFonts w:ascii="Arial" w:hAnsi="Arial" w:cs="Arial"/>
          <w:sz w:val="20"/>
        </w:rPr>
      </w:pPr>
    </w:p>
    <w:p w:rsidR="007D1F0B" w:rsidRDefault="007D1F0B" w:rsidP="007D1F0B">
      <w:pPr>
        <w:ind w:left="1800"/>
        <w:rPr>
          <w:rFonts w:ascii="Arial" w:hAnsi="Arial" w:cs="Arial"/>
          <w:sz w:val="20"/>
        </w:rPr>
      </w:pPr>
      <w:r>
        <w:rPr>
          <w:rFonts w:ascii="Arial" w:hAnsi="Arial" w:cs="Arial"/>
          <w:b/>
          <w:sz w:val="20"/>
        </w:rPr>
        <w:t>Category 8</w:t>
      </w:r>
      <w:r w:rsidRPr="008D35AD">
        <w:rPr>
          <w:rFonts w:ascii="Arial" w:hAnsi="Arial" w:cs="Arial"/>
          <w:b/>
          <w:sz w:val="20"/>
        </w:rPr>
        <w:t>.</w:t>
      </w:r>
      <w:r>
        <w:rPr>
          <w:rFonts w:ascii="Arial" w:hAnsi="Arial" w:cs="Arial"/>
          <w:sz w:val="20"/>
        </w:rPr>
        <w:t xml:space="preserve"> Category 8 is new with the revisions to the Common Rule (implemented January 21, 2019). It will be implemented at SLU when capacity to meet the regulatory requirements has been confirmed.</w:t>
      </w:r>
    </w:p>
    <w:p w:rsidR="007D1F0B" w:rsidRDefault="007D1F0B" w:rsidP="00AA2C89">
      <w:pPr>
        <w:ind w:left="1800"/>
        <w:rPr>
          <w:rFonts w:ascii="Arial" w:hAnsi="Arial" w:cs="Arial"/>
          <w:b/>
          <w:sz w:val="20"/>
        </w:rPr>
      </w:pPr>
    </w:p>
    <w:p w:rsidR="00322E1C" w:rsidRDefault="00322E1C" w:rsidP="00AA2C89">
      <w:pPr>
        <w:ind w:left="1800"/>
        <w:rPr>
          <w:rFonts w:ascii="Arial" w:hAnsi="Arial" w:cs="Arial"/>
          <w:b/>
          <w:sz w:val="20"/>
        </w:rPr>
      </w:pPr>
    </w:p>
    <w:p w:rsidR="00322E1C" w:rsidRPr="005F49A3" w:rsidRDefault="00322E1C" w:rsidP="00AA2C89">
      <w:pPr>
        <w:ind w:left="1800"/>
        <w:rPr>
          <w:rFonts w:ascii="Arial" w:hAnsi="Arial" w:cs="Arial"/>
          <w:b/>
          <w:sz w:val="20"/>
        </w:rPr>
      </w:pPr>
    </w:p>
    <w:p w:rsidR="00AA2C89" w:rsidRDefault="00AA2C89" w:rsidP="00AA2C89">
      <w:pPr>
        <w:ind w:left="720"/>
        <w:rPr>
          <w:rFonts w:ascii="Arial" w:hAnsi="Arial" w:cs="Arial"/>
          <w:sz w:val="20"/>
        </w:rPr>
      </w:pPr>
    </w:p>
    <w:p w:rsidR="00AA2C89" w:rsidRDefault="00AA2C89" w:rsidP="00AA2C89">
      <w:pPr>
        <w:numPr>
          <w:ilvl w:val="0"/>
          <w:numId w:val="1"/>
        </w:numPr>
        <w:rPr>
          <w:rFonts w:ascii="Arial" w:hAnsi="Arial" w:cs="Arial"/>
          <w:b/>
          <w:bCs/>
          <w:sz w:val="20"/>
          <w:szCs w:val="20"/>
          <w:u w:val="single"/>
        </w:rPr>
      </w:pPr>
      <w:bookmarkStart w:id="3" w:name="Expedited_Review"/>
      <w:r w:rsidRPr="00A6659E">
        <w:rPr>
          <w:rFonts w:ascii="Arial" w:hAnsi="Arial" w:cs="Arial"/>
          <w:b/>
          <w:bCs/>
          <w:sz w:val="20"/>
          <w:szCs w:val="20"/>
          <w:u w:val="single"/>
        </w:rPr>
        <w:lastRenderedPageBreak/>
        <w:t>Expedited Review:</w:t>
      </w:r>
    </w:p>
    <w:bookmarkEnd w:id="3"/>
    <w:p w:rsidR="00AA2C89" w:rsidRPr="00A6659E" w:rsidRDefault="00AA2C89" w:rsidP="00AA2C89">
      <w:pPr>
        <w:ind w:left="1080"/>
        <w:rPr>
          <w:rFonts w:ascii="Arial" w:hAnsi="Arial" w:cs="Arial"/>
          <w:b/>
          <w:bCs/>
          <w:sz w:val="20"/>
          <w:szCs w:val="20"/>
          <w:u w:val="single"/>
        </w:rPr>
      </w:pPr>
    </w:p>
    <w:p w:rsidR="00AA2C89" w:rsidRDefault="00AA2C89" w:rsidP="00AA2C89">
      <w:pPr>
        <w:numPr>
          <w:ilvl w:val="0"/>
          <w:numId w:val="3"/>
        </w:numPr>
        <w:tabs>
          <w:tab w:val="clear" w:pos="1080"/>
        </w:tabs>
        <w:ind w:left="1440"/>
        <w:rPr>
          <w:rFonts w:ascii="Arial" w:hAnsi="Arial" w:cs="Arial"/>
          <w:sz w:val="20"/>
          <w:szCs w:val="20"/>
        </w:rPr>
      </w:pPr>
      <w:r w:rsidRPr="00A6659E">
        <w:rPr>
          <w:rFonts w:ascii="Arial" w:hAnsi="Arial" w:cs="Arial"/>
          <w:sz w:val="20"/>
          <w:szCs w:val="20"/>
        </w:rPr>
        <w:t xml:space="preserve">To receive an expedited review, a study must be minimal risk and all research activities must fall into one or more of the </w:t>
      </w:r>
      <w:r w:rsidRPr="004F023E">
        <w:rPr>
          <w:rFonts w:ascii="Arial" w:hAnsi="Arial" w:cs="Arial"/>
          <w:sz w:val="20"/>
          <w:szCs w:val="20"/>
        </w:rPr>
        <w:t>categories of expedited review</w:t>
      </w:r>
      <w:r w:rsidRPr="00A6659E">
        <w:rPr>
          <w:rFonts w:ascii="Arial" w:hAnsi="Arial" w:cs="Arial"/>
          <w:sz w:val="20"/>
          <w:szCs w:val="20"/>
        </w:rPr>
        <w:t xml:space="preserve"> (</w:t>
      </w:r>
      <w:r>
        <w:rPr>
          <w:rFonts w:ascii="Arial" w:hAnsi="Arial" w:cs="Arial"/>
          <w:sz w:val="20"/>
          <w:szCs w:val="20"/>
        </w:rPr>
        <w:t>listed</w:t>
      </w:r>
      <w:r w:rsidRPr="00A6659E">
        <w:rPr>
          <w:rFonts w:ascii="Arial" w:hAnsi="Arial" w:cs="Arial"/>
          <w:sz w:val="20"/>
          <w:szCs w:val="20"/>
        </w:rPr>
        <w:t xml:space="preserve"> below).</w:t>
      </w:r>
    </w:p>
    <w:p w:rsidR="00AA2C89" w:rsidRDefault="00AA2C89" w:rsidP="00AA2C89">
      <w:pPr>
        <w:numPr>
          <w:ilvl w:val="0"/>
          <w:numId w:val="3"/>
        </w:numPr>
        <w:tabs>
          <w:tab w:val="clear" w:pos="1080"/>
        </w:tabs>
        <w:ind w:left="1440"/>
        <w:rPr>
          <w:rFonts w:ascii="Arial" w:hAnsi="Arial" w:cs="Arial"/>
          <w:sz w:val="20"/>
          <w:szCs w:val="20"/>
        </w:rPr>
      </w:pPr>
      <w:r w:rsidRPr="00A6659E">
        <w:rPr>
          <w:rFonts w:ascii="Arial" w:hAnsi="Arial" w:cs="Arial"/>
          <w:sz w:val="20"/>
          <w:szCs w:val="20"/>
        </w:rPr>
        <w:t>Expedited research does not have to go before the full board before it can be approved.  After it is approved, it is then reported to the board.</w:t>
      </w:r>
    </w:p>
    <w:p w:rsidR="00AA2C89" w:rsidRDefault="00AA2C89" w:rsidP="00AA2C89">
      <w:pPr>
        <w:numPr>
          <w:ilvl w:val="0"/>
          <w:numId w:val="3"/>
        </w:numPr>
        <w:tabs>
          <w:tab w:val="clear" w:pos="1080"/>
        </w:tabs>
        <w:ind w:left="1440"/>
        <w:rPr>
          <w:rFonts w:ascii="Arial" w:hAnsi="Arial" w:cs="Arial"/>
          <w:sz w:val="20"/>
          <w:szCs w:val="20"/>
        </w:rPr>
      </w:pPr>
      <w:r>
        <w:rPr>
          <w:rFonts w:ascii="Arial" w:hAnsi="Arial" w:cs="Arial"/>
          <w:sz w:val="20"/>
          <w:szCs w:val="20"/>
        </w:rPr>
        <w:t>Note that expedited and fullboard studies share the same application/form.</w:t>
      </w:r>
      <w:r w:rsidR="0024756E">
        <w:rPr>
          <w:rFonts w:ascii="Arial" w:hAnsi="Arial" w:cs="Arial"/>
          <w:sz w:val="20"/>
          <w:szCs w:val="20"/>
        </w:rPr>
        <w:t xml:space="preserve"> To request expedited review, complete the “Expedited Paragraphs” tab within the application/form.</w:t>
      </w:r>
    </w:p>
    <w:p w:rsidR="0024756E" w:rsidRPr="00A6659E" w:rsidRDefault="0024756E" w:rsidP="005F49A3">
      <w:pPr>
        <w:ind w:left="1440"/>
        <w:rPr>
          <w:rFonts w:ascii="Arial" w:hAnsi="Arial" w:cs="Arial"/>
          <w:sz w:val="20"/>
          <w:szCs w:val="20"/>
        </w:rPr>
      </w:pPr>
    </w:p>
    <w:p w:rsidR="00AA2C89" w:rsidRDefault="00AA2C89" w:rsidP="00AA2C89">
      <w:pPr>
        <w:ind w:left="1440"/>
        <w:rPr>
          <w:rFonts w:ascii="Arial" w:hAnsi="Arial" w:cs="Arial"/>
          <w:sz w:val="20"/>
        </w:rPr>
      </w:pPr>
      <w:r>
        <w:rPr>
          <w:rFonts w:ascii="Arial" w:hAnsi="Arial" w:cs="Arial"/>
          <w:b/>
          <w:sz w:val="20"/>
          <w:u w:val="single"/>
        </w:rPr>
        <w:t>Expedited</w:t>
      </w:r>
      <w:r w:rsidRPr="00880719">
        <w:rPr>
          <w:rFonts w:ascii="Arial" w:hAnsi="Arial" w:cs="Arial"/>
          <w:b/>
          <w:sz w:val="20"/>
          <w:u w:val="single"/>
        </w:rPr>
        <w:t xml:space="preserve"> </w:t>
      </w:r>
      <w:r>
        <w:rPr>
          <w:rFonts w:ascii="Arial" w:hAnsi="Arial" w:cs="Arial"/>
          <w:b/>
          <w:sz w:val="20"/>
          <w:u w:val="single"/>
        </w:rPr>
        <w:t>Categories</w:t>
      </w:r>
      <w:r w:rsidRPr="00880719">
        <w:rPr>
          <w:rFonts w:ascii="Arial" w:hAnsi="Arial" w:cs="Arial"/>
          <w:b/>
          <w:sz w:val="20"/>
        </w:rPr>
        <w:t>:</w:t>
      </w:r>
    </w:p>
    <w:p w:rsidR="00AA2C89" w:rsidRPr="00A6659E" w:rsidRDefault="00AA2C89" w:rsidP="00AA2C89">
      <w:pPr>
        <w:ind w:left="720" w:firstLine="720"/>
        <w:rPr>
          <w:rFonts w:ascii="Arial" w:hAnsi="Arial" w:cs="Arial"/>
          <w:sz w:val="20"/>
          <w:szCs w:val="20"/>
        </w:rPr>
      </w:pPr>
      <w:r>
        <w:rPr>
          <w:rFonts w:ascii="Arial" w:hAnsi="Arial" w:cs="Arial"/>
          <w:sz w:val="20"/>
        </w:rPr>
        <w:t>All study procedures must fall into one or more of the following expedited categories:</w:t>
      </w:r>
    </w:p>
    <w:p w:rsidR="00AA2C89" w:rsidRPr="00A6659E" w:rsidRDefault="00AA2C89" w:rsidP="00AA2C89">
      <w:pPr>
        <w:ind w:left="720" w:firstLine="720"/>
        <w:rPr>
          <w:rFonts w:ascii="Arial" w:hAnsi="Arial" w:cs="Arial"/>
          <w:sz w:val="20"/>
          <w:szCs w:val="20"/>
        </w:rPr>
      </w:pPr>
    </w:p>
    <w:p w:rsidR="00AA2C89" w:rsidRPr="00A6659E" w:rsidRDefault="00AA2C89" w:rsidP="00AA2C89">
      <w:pPr>
        <w:ind w:left="1770"/>
        <w:rPr>
          <w:rFonts w:ascii="Arial" w:hAnsi="Arial" w:cs="Arial"/>
          <w:bCs/>
          <w:color w:val="000000"/>
          <w:sz w:val="20"/>
          <w:szCs w:val="20"/>
        </w:rPr>
      </w:pPr>
      <w:r w:rsidRPr="00A6659E">
        <w:rPr>
          <w:rFonts w:ascii="Arial" w:hAnsi="Arial" w:cs="Arial"/>
          <w:b/>
          <w:sz w:val="20"/>
          <w:szCs w:val="20"/>
        </w:rPr>
        <w:t>Category 1</w:t>
      </w:r>
      <w:r w:rsidRPr="00A6659E">
        <w:rPr>
          <w:rFonts w:ascii="Arial" w:hAnsi="Arial" w:cs="Arial"/>
          <w:sz w:val="20"/>
          <w:szCs w:val="20"/>
        </w:rPr>
        <w:t xml:space="preserve">: </w:t>
      </w:r>
      <w:r w:rsidRPr="00A6659E">
        <w:rPr>
          <w:rFonts w:ascii="Arial" w:hAnsi="Arial" w:cs="Arial"/>
          <w:bCs/>
          <w:color w:val="000000"/>
          <w:sz w:val="20"/>
          <w:szCs w:val="20"/>
        </w:rPr>
        <w:t>Clinical studies of drugs and medical devices only when condition (a) or (b) is met.</w:t>
      </w:r>
    </w:p>
    <w:p w:rsidR="00AA2C89" w:rsidRPr="00A6659E" w:rsidRDefault="00AA2C89" w:rsidP="00AA2C89">
      <w:pPr>
        <w:ind w:left="1770"/>
        <w:rPr>
          <w:rFonts w:ascii="Arial" w:hAnsi="Arial" w:cs="Arial"/>
          <w:bCs/>
          <w:color w:val="000000"/>
          <w:sz w:val="20"/>
          <w:szCs w:val="20"/>
          <w:shd w:val="clear" w:color="auto" w:fill="FFFFFF"/>
        </w:rPr>
      </w:pPr>
      <w:r w:rsidRPr="00A6659E">
        <w:rPr>
          <w:rFonts w:ascii="Arial" w:hAnsi="Arial" w:cs="Arial"/>
          <w:bCs/>
          <w:color w:val="000000"/>
          <w:sz w:val="20"/>
          <w:szCs w:val="20"/>
        </w:rPr>
        <w:t xml:space="preserve">(a).  </w:t>
      </w:r>
      <w:r w:rsidRPr="00A6659E">
        <w:rPr>
          <w:rFonts w:ascii="Arial" w:hAnsi="Arial" w:cs="Arial"/>
          <w:bCs/>
          <w:color w:val="000000"/>
          <w:sz w:val="20"/>
          <w:szCs w:val="20"/>
          <w:shd w:val="clear" w:color="auto" w:fill="FFFFFF"/>
        </w:rPr>
        <w:t xml:space="preserve">Research on drugs for which an investigational new drug application (21 CFR Part 31, 32) is not required. (Note: Research on marketed drugs that significantly increases the risks or decreases the acceptability of the risks associated with the use of the product is not eligible for expedited review.) </w:t>
      </w:r>
    </w:p>
    <w:p w:rsidR="00AA2C89" w:rsidRPr="00A6659E" w:rsidRDefault="00AA2C89" w:rsidP="00AA2C89">
      <w:pPr>
        <w:ind w:left="1770"/>
        <w:rPr>
          <w:rFonts w:ascii="Arial" w:hAnsi="Arial" w:cs="Arial"/>
          <w:bCs/>
          <w:color w:val="000000"/>
          <w:sz w:val="20"/>
          <w:szCs w:val="20"/>
          <w:shd w:val="clear" w:color="auto" w:fill="FFFFFF"/>
        </w:rPr>
      </w:pPr>
      <w:r w:rsidRPr="00A6659E">
        <w:rPr>
          <w:rFonts w:ascii="Arial" w:hAnsi="Arial" w:cs="Arial"/>
          <w:bCs/>
          <w:color w:val="000000"/>
          <w:sz w:val="20"/>
          <w:szCs w:val="20"/>
          <w:shd w:val="clear" w:color="auto" w:fill="FFFFFF"/>
        </w:rPr>
        <w:t>(b). Research on medical devices for which (i) an investigational device exemption application (21 CFR Part 812) is not required; or (ii) the medical device is cleared/approved for marketing and the medical device is being used in accordance with its cleared/approved labeling.</w:t>
      </w:r>
    </w:p>
    <w:p w:rsidR="00AA2C89" w:rsidRDefault="00AA2C89" w:rsidP="00AA2C89">
      <w:pPr>
        <w:ind w:left="2340"/>
        <w:rPr>
          <w:rFonts w:ascii="Arial" w:hAnsi="Arial" w:cs="Arial"/>
          <w:b/>
          <w:bCs/>
          <w:color w:val="000000"/>
          <w:sz w:val="20"/>
          <w:szCs w:val="20"/>
          <w:shd w:val="clear" w:color="auto" w:fill="FFFFFF"/>
        </w:rPr>
      </w:pPr>
    </w:p>
    <w:p w:rsidR="00AA2C89" w:rsidRPr="00A6659E" w:rsidRDefault="00AA2C89" w:rsidP="00AA2C89">
      <w:pPr>
        <w:ind w:left="1770"/>
        <w:rPr>
          <w:rFonts w:ascii="Arial" w:hAnsi="Arial" w:cs="Arial"/>
          <w:bCs/>
          <w:color w:val="000000"/>
          <w:sz w:val="20"/>
          <w:szCs w:val="20"/>
        </w:rPr>
      </w:pPr>
      <w:r w:rsidRPr="00A6659E">
        <w:rPr>
          <w:rFonts w:ascii="Arial" w:hAnsi="Arial" w:cs="Arial"/>
          <w:b/>
          <w:bCs/>
          <w:color w:val="000000"/>
          <w:sz w:val="20"/>
          <w:szCs w:val="20"/>
          <w:shd w:val="clear" w:color="auto" w:fill="FFFFFF"/>
        </w:rPr>
        <w:t>Category 2:</w:t>
      </w:r>
      <w:r w:rsidRPr="00A6659E">
        <w:rPr>
          <w:rFonts w:ascii="Arial" w:hAnsi="Arial" w:cs="Arial"/>
          <w:bCs/>
          <w:color w:val="000000"/>
          <w:sz w:val="20"/>
          <w:szCs w:val="20"/>
          <w:shd w:val="clear" w:color="auto" w:fill="FFFFFF"/>
        </w:rPr>
        <w:t xml:space="preserve">  </w:t>
      </w:r>
      <w:r w:rsidRPr="00A6659E">
        <w:rPr>
          <w:rFonts w:ascii="Arial" w:hAnsi="Arial" w:cs="Arial"/>
          <w:bCs/>
          <w:color w:val="000000"/>
          <w:sz w:val="20"/>
          <w:szCs w:val="20"/>
        </w:rPr>
        <w:t>Collection of blood samples by finger stick, heel stick, ear stick, or venipuncture as follows:</w:t>
      </w:r>
    </w:p>
    <w:p w:rsidR="00AA2C89" w:rsidRPr="00A6659E" w:rsidRDefault="00AA2C89" w:rsidP="00AA2C89">
      <w:pPr>
        <w:ind w:left="1770"/>
        <w:rPr>
          <w:rFonts w:ascii="Arial" w:hAnsi="Arial" w:cs="Arial"/>
          <w:bCs/>
          <w:color w:val="000000"/>
          <w:sz w:val="20"/>
          <w:szCs w:val="20"/>
        </w:rPr>
      </w:pPr>
      <w:r w:rsidRPr="00A6659E">
        <w:rPr>
          <w:rFonts w:ascii="Arial" w:hAnsi="Arial" w:cs="Arial"/>
          <w:bCs/>
          <w:color w:val="000000"/>
          <w:sz w:val="20"/>
          <w:szCs w:val="20"/>
        </w:rPr>
        <w:t xml:space="preserve">(a). From healthy, non-pregnant adults who weigh at least 110 pounds.  For these subjects, the amounts drawn may not exceed 550 ml in an 8-week period and collection may not occur more frequently than 2 times per week; or </w:t>
      </w:r>
    </w:p>
    <w:p w:rsidR="00AA2C89" w:rsidRPr="00A6659E" w:rsidRDefault="00AA2C89" w:rsidP="00AA2C89">
      <w:pPr>
        <w:ind w:left="1770"/>
        <w:rPr>
          <w:rFonts w:ascii="Arial" w:hAnsi="Arial" w:cs="Arial"/>
          <w:bCs/>
          <w:color w:val="000000"/>
          <w:sz w:val="20"/>
          <w:szCs w:val="20"/>
        </w:rPr>
      </w:pPr>
      <w:r w:rsidRPr="00A6659E">
        <w:rPr>
          <w:rFonts w:ascii="Arial" w:hAnsi="Arial" w:cs="Arial"/>
          <w:bCs/>
          <w:color w:val="000000"/>
          <w:sz w:val="20"/>
          <w:szCs w:val="20"/>
        </w:rPr>
        <w:t>(b). 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8-week period and collection may not occur more frequently than 2 times per week.</w:t>
      </w:r>
    </w:p>
    <w:p w:rsidR="00AA2C89" w:rsidRPr="00A6659E" w:rsidRDefault="00AA2C89" w:rsidP="00AA2C89">
      <w:pPr>
        <w:ind w:left="1770"/>
        <w:rPr>
          <w:rFonts w:ascii="Arial" w:hAnsi="Arial" w:cs="Arial"/>
          <w:bCs/>
          <w:color w:val="000000"/>
          <w:sz w:val="20"/>
          <w:szCs w:val="20"/>
        </w:rPr>
      </w:pPr>
      <w:r w:rsidRPr="00A6659E">
        <w:rPr>
          <w:rFonts w:ascii="Arial" w:hAnsi="Arial" w:cs="Arial"/>
          <w:bCs/>
          <w:color w:val="000000"/>
          <w:sz w:val="20"/>
          <w:szCs w:val="20"/>
        </w:rPr>
        <w:t>*</w:t>
      </w:r>
      <w:r w:rsidRPr="00A6659E">
        <w:rPr>
          <w:rFonts w:ascii="Arial" w:hAnsi="Arial" w:cs="Arial"/>
          <w:bCs/>
          <w:i/>
          <w:iCs/>
          <w:color w:val="000000"/>
          <w:sz w:val="20"/>
          <w:szCs w:val="20"/>
          <w:shd w:val="clear" w:color="auto" w:fill="FFFFFF"/>
        </w:rPr>
        <w:t>Children are "persons who have not attained the legal age for consent to treatments or procedures involved in the research, under the applicable law of the jurisdiction in which the research will be conducted."</w:t>
      </w:r>
    </w:p>
    <w:p w:rsidR="00AA2C89" w:rsidRPr="00A6659E" w:rsidRDefault="00AA2C89" w:rsidP="00AA2C89">
      <w:pPr>
        <w:ind w:left="2340"/>
        <w:rPr>
          <w:rFonts w:ascii="Arial" w:hAnsi="Arial" w:cs="Arial"/>
          <w:b/>
          <w:bCs/>
          <w:color w:val="000000"/>
          <w:sz w:val="20"/>
          <w:szCs w:val="20"/>
        </w:rPr>
      </w:pPr>
    </w:p>
    <w:p w:rsidR="00AA2C89" w:rsidRPr="00A6659E" w:rsidRDefault="00AA2C89" w:rsidP="00AA2C89">
      <w:pPr>
        <w:ind w:left="1728"/>
        <w:rPr>
          <w:rFonts w:ascii="Arial" w:hAnsi="Arial" w:cs="Arial"/>
          <w:bCs/>
          <w:color w:val="000000"/>
          <w:sz w:val="20"/>
          <w:szCs w:val="20"/>
        </w:rPr>
      </w:pPr>
      <w:r w:rsidRPr="00A6659E">
        <w:rPr>
          <w:rFonts w:ascii="Arial" w:hAnsi="Arial" w:cs="Arial"/>
          <w:b/>
          <w:bCs/>
          <w:color w:val="000000"/>
          <w:sz w:val="20"/>
          <w:szCs w:val="20"/>
        </w:rPr>
        <w:t>Category 3:</w:t>
      </w:r>
      <w:r w:rsidRPr="00A6659E">
        <w:rPr>
          <w:rFonts w:ascii="Arial" w:hAnsi="Arial" w:cs="Arial"/>
          <w:bCs/>
          <w:color w:val="000000"/>
          <w:sz w:val="20"/>
          <w:szCs w:val="20"/>
        </w:rPr>
        <w:t xml:space="preserve">  Prospective collection of biological specimens for research purposes by non-invasive means.</w:t>
      </w:r>
    </w:p>
    <w:p w:rsidR="00AA2C89" w:rsidRPr="00A6659E" w:rsidRDefault="00AA2C89" w:rsidP="00AA2C89">
      <w:pPr>
        <w:ind w:left="1728"/>
        <w:rPr>
          <w:rFonts w:ascii="Arial" w:hAnsi="Arial" w:cs="Arial"/>
          <w:color w:val="000000"/>
          <w:sz w:val="20"/>
          <w:szCs w:val="20"/>
          <w:shd w:val="clear" w:color="auto" w:fill="FFFFFF"/>
        </w:rPr>
      </w:pPr>
      <w:r w:rsidRPr="00A6659E">
        <w:rPr>
          <w:rFonts w:ascii="Arial" w:hAnsi="Arial" w:cs="Arial"/>
          <w:bCs/>
          <w:color w:val="000000"/>
          <w:sz w:val="20"/>
          <w:szCs w:val="20"/>
        </w:rPr>
        <w:t xml:space="preserve">Examples: </w:t>
      </w:r>
      <w:r w:rsidRPr="00A6659E">
        <w:rPr>
          <w:rStyle w:val="apple-converted-space"/>
          <w:rFonts w:ascii="Arial" w:hAnsi="Arial" w:cs="Arial"/>
          <w:color w:val="000000"/>
          <w:sz w:val="20"/>
          <w:szCs w:val="20"/>
          <w:shd w:val="clear" w:color="auto" w:fill="FFFFFF"/>
        </w:rPr>
        <w:t> </w:t>
      </w:r>
      <w:r w:rsidRPr="00A6659E">
        <w:rPr>
          <w:rFonts w:ascii="Arial" w:hAnsi="Arial" w:cs="Arial"/>
          <w:color w:val="000000"/>
          <w:sz w:val="20"/>
          <w:szCs w:val="20"/>
          <w:shd w:val="clear" w:color="auto" w:fill="FFFFFF"/>
        </w:rPr>
        <w:t>(a)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rsidR="00AA2C89" w:rsidRPr="00A6659E" w:rsidRDefault="00AA2C89" w:rsidP="00AA2C89">
      <w:pPr>
        <w:pStyle w:val="NormalWeb"/>
        <w:ind w:left="1728"/>
        <w:rPr>
          <w:bCs/>
          <w:sz w:val="20"/>
          <w:szCs w:val="20"/>
        </w:rPr>
      </w:pPr>
      <w:r w:rsidRPr="00A6659E">
        <w:rPr>
          <w:b/>
          <w:bCs/>
          <w:sz w:val="20"/>
          <w:szCs w:val="20"/>
        </w:rPr>
        <w:t>Category 4:</w:t>
      </w:r>
      <w:r w:rsidRPr="00A6659E">
        <w:rPr>
          <w:sz w:val="20"/>
          <w:szCs w:val="20"/>
        </w:rPr>
        <w:t xml:space="preserve">  </w:t>
      </w:r>
      <w:r w:rsidRPr="00A6659E">
        <w:rPr>
          <w:bCs/>
          <w:sz w:val="20"/>
          <w:szCs w:val="20"/>
        </w:rPr>
        <w:t xml:space="preserve">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w:t>
      </w:r>
      <w:r w:rsidRPr="00A6659E">
        <w:rPr>
          <w:bCs/>
          <w:sz w:val="20"/>
          <w:szCs w:val="20"/>
        </w:rPr>
        <w:lastRenderedPageBreak/>
        <w:t>and effectiveness of the medical device are not generally eligible for expedited review, including studies of cleared medical devices for new indications.)</w:t>
      </w:r>
    </w:p>
    <w:p w:rsidR="00AA2C89" w:rsidRPr="00A6659E" w:rsidRDefault="00AA2C89" w:rsidP="00AA2C89">
      <w:pPr>
        <w:pStyle w:val="NormalWeb"/>
        <w:ind w:left="1728"/>
        <w:rPr>
          <w:sz w:val="20"/>
          <w:szCs w:val="20"/>
          <w:shd w:val="clear" w:color="auto" w:fill="FFFFFF"/>
        </w:rPr>
      </w:pPr>
      <w:r w:rsidRPr="00A6659E">
        <w:rPr>
          <w:bCs/>
          <w:sz w:val="20"/>
          <w:szCs w:val="20"/>
        </w:rPr>
        <w:t xml:space="preserve">Examples: </w:t>
      </w:r>
      <w:r w:rsidRPr="00A6659E">
        <w:rPr>
          <w:rStyle w:val="apple-converted-space"/>
          <w:sz w:val="20"/>
          <w:szCs w:val="20"/>
          <w:shd w:val="clear" w:color="auto" w:fill="FFFFFF"/>
        </w:rPr>
        <w:t> </w:t>
      </w:r>
      <w:r w:rsidRPr="00A6659E">
        <w:rPr>
          <w:sz w:val="20"/>
          <w:szCs w:val="20"/>
          <w:shd w:val="clear" w:color="auto" w:fill="FFFFFF"/>
        </w:rPr>
        <w:t>(a)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echocardiology; (e) moderate exercise, muscular strength testing, body composition assessment, and flexibility testing where appropriate given the age, weight and health of the individual</w:t>
      </w:r>
    </w:p>
    <w:p w:rsidR="00AA2C89" w:rsidRPr="00A6659E" w:rsidRDefault="00AA2C89" w:rsidP="00AA2C89">
      <w:pPr>
        <w:pStyle w:val="NormalWeb"/>
        <w:ind w:left="1728"/>
        <w:rPr>
          <w:bCs/>
          <w:sz w:val="20"/>
          <w:szCs w:val="20"/>
        </w:rPr>
      </w:pPr>
      <w:r w:rsidRPr="00A6659E">
        <w:rPr>
          <w:b/>
          <w:bCs/>
          <w:sz w:val="20"/>
          <w:szCs w:val="20"/>
        </w:rPr>
        <w:t>Category 5:</w:t>
      </w:r>
      <w:r w:rsidRPr="00A6659E">
        <w:rPr>
          <w:sz w:val="20"/>
          <w:szCs w:val="20"/>
        </w:rPr>
        <w:t xml:space="preserve">  </w:t>
      </w:r>
      <w:r w:rsidRPr="00A6659E">
        <w:rPr>
          <w:bCs/>
          <w:sz w:val="20"/>
          <w:szCs w:val="20"/>
        </w:rPr>
        <w:t>Research involving materials (data, documents, records, or specimens) that have been collected, or will be collected solely for non-research purposes (such as medical treatment or diagnosis). (NOTE: Some research in this category may be exempt from the HHS regulations for the protection of human subjects. 45CFR 46.101(b)(4). This listing refers only to research that is not exempt.)</w:t>
      </w:r>
    </w:p>
    <w:p w:rsidR="00AA2C89" w:rsidRPr="00A6659E" w:rsidRDefault="00AA2C89" w:rsidP="00AA2C89">
      <w:pPr>
        <w:pStyle w:val="NormalWeb"/>
        <w:ind w:left="1728"/>
        <w:rPr>
          <w:bCs/>
          <w:sz w:val="20"/>
          <w:szCs w:val="20"/>
        </w:rPr>
      </w:pPr>
      <w:r w:rsidRPr="00A6659E">
        <w:rPr>
          <w:b/>
          <w:bCs/>
          <w:sz w:val="20"/>
          <w:szCs w:val="20"/>
        </w:rPr>
        <w:t>Category 6:</w:t>
      </w:r>
      <w:r w:rsidRPr="00A6659E">
        <w:rPr>
          <w:bCs/>
          <w:sz w:val="20"/>
          <w:szCs w:val="20"/>
        </w:rPr>
        <w:t xml:space="preserve">  Collection of data from voice, video, digital, or image recordings made for research purposes.</w:t>
      </w:r>
    </w:p>
    <w:p w:rsidR="00AA2C89" w:rsidRPr="00A6659E" w:rsidRDefault="00AA2C89" w:rsidP="00AA2C89">
      <w:pPr>
        <w:pStyle w:val="NormalWeb"/>
        <w:ind w:left="1728"/>
        <w:rPr>
          <w:sz w:val="20"/>
          <w:szCs w:val="20"/>
        </w:rPr>
      </w:pPr>
      <w:r w:rsidRPr="00A6659E">
        <w:rPr>
          <w:b/>
          <w:bCs/>
          <w:sz w:val="20"/>
          <w:szCs w:val="20"/>
        </w:rPr>
        <w:t>Category 7:</w:t>
      </w:r>
      <w:r w:rsidRPr="00A6659E">
        <w:rPr>
          <w:bCs/>
          <w:sz w:val="20"/>
          <w:szCs w:val="20"/>
        </w:rPr>
        <w:t xml:space="preserve">  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45 CFR 46.101(b)(2) and (b)(3). This listing refers only to research that is not exempt.)</w:t>
      </w:r>
    </w:p>
    <w:p w:rsidR="00AA2C89" w:rsidRPr="00A6659E" w:rsidRDefault="00AA2C89" w:rsidP="00AA2C89">
      <w:pPr>
        <w:numPr>
          <w:ilvl w:val="0"/>
          <w:numId w:val="1"/>
        </w:numPr>
        <w:rPr>
          <w:rFonts w:ascii="Arial" w:hAnsi="Arial" w:cs="Arial"/>
          <w:b/>
          <w:bCs/>
          <w:sz w:val="20"/>
          <w:szCs w:val="20"/>
          <w:u w:val="single"/>
        </w:rPr>
      </w:pPr>
      <w:bookmarkStart w:id="4" w:name="Full_Board_Review"/>
      <w:r>
        <w:rPr>
          <w:rFonts w:ascii="Arial" w:hAnsi="Arial" w:cs="Arial"/>
          <w:b/>
          <w:bCs/>
          <w:sz w:val="20"/>
          <w:szCs w:val="20"/>
          <w:u w:val="single"/>
        </w:rPr>
        <w:t>Full Board</w:t>
      </w:r>
      <w:r w:rsidRPr="00A6659E">
        <w:rPr>
          <w:rFonts w:ascii="Arial" w:hAnsi="Arial" w:cs="Arial"/>
          <w:b/>
          <w:bCs/>
          <w:sz w:val="20"/>
          <w:szCs w:val="20"/>
          <w:u w:val="single"/>
        </w:rPr>
        <w:t xml:space="preserve"> Review:</w:t>
      </w:r>
    </w:p>
    <w:bookmarkEnd w:id="4"/>
    <w:p w:rsidR="00AA2C89" w:rsidRDefault="00AA2C89" w:rsidP="00AA2C89">
      <w:pPr>
        <w:numPr>
          <w:ilvl w:val="0"/>
          <w:numId w:val="3"/>
        </w:numPr>
        <w:tabs>
          <w:tab w:val="clear" w:pos="1080"/>
        </w:tabs>
        <w:ind w:left="1440"/>
        <w:rPr>
          <w:rFonts w:ascii="Arial" w:hAnsi="Arial" w:cs="Arial"/>
          <w:sz w:val="20"/>
          <w:szCs w:val="20"/>
        </w:rPr>
      </w:pPr>
      <w:r>
        <w:rPr>
          <w:rFonts w:ascii="Arial" w:hAnsi="Arial" w:cs="Arial"/>
          <w:sz w:val="20"/>
          <w:szCs w:val="20"/>
        </w:rPr>
        <w:t>Studies requiring IRB review that do not qualify for exempt or expedited review are reviewed by the full (convened) board.</w:t>
      </w:r>
    </w:p>
    <w:p w:rsidR="00AA2C89" w:rsidRDefault="00AA2C89" w:rsidP="00AA2C89">
      <w:pPr>
        <w:numPr>
          <w:ilvl w:val="0"/>
          <w:numId w:val="3"/>
        </w:numPr>
        <w:tabs>
          <w:tab w:val="clear" w:pos="1080"/>
        </w:tabs>
        <w:ind w:left="1440"/>
        <w:rPr>
          <w:rFonts w:ascii="Arial" w:hAnsi="Arial" w:cs="Arial"/>
          <w:sz w:val="20"/>
          <w:szCs w:val="20"/>
        </w:rPr>
      </w:pPr>
      <w:r>
        <w:rPr>
          <w:rFonts w:ascii="Arial" w:hAnsi="Arial" w:cs="Arial"/>
          <w:sz w:val="20"/>
          <w:szCs w:val="20"/>
        </w:rPr>
        <w:t xml:space="preserve">Studies submitted for full board review must be submitted by </w:t>
      </w:r>
      <w:r w:rsidRPr="004F023E">
        <w:rPr>
          <w:rFonts w:ascii="Arial" w:hAnsi="Arial" w:cs="Arial"/>
          <w:sz w:val="20"/>
          <w:szCs w:val="20"/>
        </w:rPr>
        <w:t xml:space="preserve">the </w:t>
      </w:r>
      <w:hyperlink r:id="rId9" w:history="1">
        <w:r w:rsidRPr="004E568F">
          <w:rPr>
            <w:rStyle w:val="Hyperlink"/>
            <w:rFonts w:ascii="Arial" w:hAnsi="Arial" w:cs="Arial"/>
            <w:sz w:val="20"/>
            <w:szCs w:val="20"/>
          </w:rPr>
          <w:t>published deadlines</w:t>
        </w:r>
      </w:hyperlink>
      <w:r>
        <w:rPr>
          <w:rFonts w:ascii="Arial" w:hAnsi="Arial" w:cs="Arial"/>
          <w:sz w:val="20"/>
          <w:szCs w:val="20"/>
        </w:rPr>
        <w:t xml:space="preserve"> in order to be reviewed at a specific convened meeting.</w:t>
      </w:r>
    </w:p>
    <w:p w:rsidR="00AA2C89" w:rsidRPr="00A6659E" w:rsidRDefault="00AA2C89" w:rsidP="00AA2C89">
      <w:pPr>
        <w:numPr>
          <w:ilvl w:val="0"/>
          <w:numId w:val="3"/>
        </w:numPr>
        <w:tabs>
          <w:tab w:val="clear" w:pos="1080"/>
        </w:tabs>
        <w:ind w:left="1440"/>
        <w:rPr>
          <w:rFonts w:ascii="Arial" w:hAnsi="Arial" w:cs="Arial"/>
          <w:sz w:val="20"/>
          <w:szCs w:val="20"/>
        </w:rPr>
      </w:pPr>
      <w:r>
        <w:rPr>
          <w:rFonts w:ascii="Arial" w:hAnsi="Arial" w:cs="Arial"/>
          <w:sz w:val="20"/>
          <w:szCs w:val="20"/>
        </w:rPr>
        <w:t>Note that expedited and fullboard studies share the same application/form.</w:t>
      </w:r>
      <w:r w:rsidR="00C145BB">
        <w:rPr>
          <w:rFonts w:ascii="Arial" w:hAnsi="Arial" w:cs="Arial"/>
          <w:sz w:val="20"/>
          <w:szCs w:val="20"/>
        </w:rPr>
        <w:t xml:space="preserve"> Fullboard </w:t>
      </w:r>
      <w:r w:rsidR="00A01CF6">
        <w:rPr>
          <w:rFonts w:ascii="Arial" w:hAnsi="Arial" w:cs="Arial"/>
          <w:sz w:val="20"/>
          <w:szCs w:val="20"/>
        </w:rPr>
        <w:t>studies</w:t>
      </w:r>
      <w:r w:rsidR="00C145BB">
        <w:rPr>
          <w:rFonts w:ascii="Arial" w:hAnsi="Arial" w:cs="Arial"/>
          <w:sz w:val="20"/>
          <w:szCs w:val="20"/>
        </w:rPr>
        <w:t xml:space="preserve"> should not complete the “Expedited Paragraphs” tab of the form</w:t>
      </w:r>
      <w:r w:rsidR="006C02DE">
        <w:rPr>
          <w:rFonts w:ascii="Arial" w:hAnsi="Arial" w:cs="Arial"/>
          <w:sz w:val="20"/>
          <w:szCs w:val="20"/>
        </w:rPr>
        <w:t>.</w:t>
      </w:r>
    </w:p>
    <w:p w:rsidR="00AA2C89" w:rsidRDefault="00AA2C89" w:rsidP="00AA2C89">
      <w:pPr>
        <w:ind w:left="1440"/>
        <w:rPr>
          <w:rFonts w:ascii="Arial" w:hAnsi="Arial" w:cs="Arial"/>
          <w:sz w:val="20"/>
          <w:szCs w:val="20"/>
        </w:rPr>
      </w:pPr>
    </w:p>
    <w:p w:rsidR="00AA2C89" w:rsidRDefault="00AA2C89" w:rsidP="00AA2C89">
      <w:pPr>
        <w:ind w:left="1440"/>
        <w:rPr>
          <w:rFonts w:ascii="Arial" w:hAnsi="Arial" w:cs="Arial"/>
          <w:sz w:val="20"/>
          <w:szCs w:val="20"/>
        </w:rPr>
      </w:pPr>
    </w:p>
    <w:p w:rsidR="00AA2C89" w:rsidRDefault="00AA2C89" w:rsidP="00AA2C89">
      <w:pPr>
        <w:rPr>
          <w:rFonts w:ascii="Arial" w:hAnsi="Arial" w:cs="Arial"/>
          <w:b/>
          <w:bCs/>
          <w:i/>
          <w:iCs/>
          <w:sz w:val="20"/>
        </w:rPr>
      </w:pPr>
      <w:bookmarkStart w:id="5" w:name="Application_Type"/>
      <w:r>
        <w:rPr>
          <w:rFonts w:ascii="Arial" w:hAnsi="Arial" w:cs="Arial"/>
          <w:b/>
          <w:bCs/>
          <w:i/>
          <w:iCs/>
          <w:sz w:val="20"/>
        </w:rPr>
        <w:t>Which type of application/form should I choose?</w:t>
      </w:r>
    </w:p>
    <w:bookmarkEnd w:id="5"/>
    <w:p w:rsidR="00AA2C89" w:rsidRDefault="00AA2C89" w:rsidP="00AA2C89">
      <w:pPr>
        <w:rPr>
          <w:rFonts w:ascii="Arial" w:hAnsi="Arial" w:cs="Arial"/>
          <w:sz w:val="20"/>
        </w:rPr>
      </w:pPr>
    </w:p>
    <w:p w:rsidR="00AA2C89" w:rsidRPr="00940AD5" w:rsidRDefault="00AA2C89" w:rsidP="00AA2C89">
      <w:pPr>
        <w:rPr>
          <w:rFonts w:ascii="Arial" w:hAnsi="Arial" w:cs="Arial"/>
          <w:sz w:val="20"/>
          <w:szCs w:val="20"/>
        </w:rPr>
      </w:pPr>
      <w:r w:rsidRPr="00940AD5">
        <w:rPr>
          <w:rFonts w:ascii="Arial" w:hAnsi="Arial" w:cs="Arial"/>
          <w:sz w:val="20"/>
          <w:szCs w:val="20"/>
        </w:rPr>
        <w:t>In some studies it is not clear whether the Biomedical or Social, Behavioral &amp; Education application should be used; the IRB typically accepts either. However, studies submitted on Exempt applications that need Expedited or Fullboard review will be returned and the correct form will need to be completed.</w:t>
      </w:r>
    </w:p>
    <w:p w:rsidR="00AA2C89" w:rsidRDefault="00AA2C89" w:rsidP="00AA2C89">
      <w:pPr>
        <w:rPr>
          <w:rFonts w:ascii="Arial" w:hAnsi="Arial" w:cs="Arial"/>
          <w:sz w:val="20"/>
        </w:rPr>
      </w:pPr>
    </w:p>
    <w:p w:rsidR="00AA2C89" w:rsidRPr="00940AD5" w:rsidRDefault="00AA2C89" w:rsidP="00AA2C89">
      <w:pPr>
        <w:numPr>
          <w:ilvl w:val="0"/>
          <w:numId w:val="6"/>
        </w:numPr>
        <w:rPr>
          <w:rFonts w:ascii="Arial" w:hAnsi="Arial" w:cs="Arial"/>
          <w:sz w:val="20"/>
          <w:szCs w:val="20"/>
        </w:rPr>
      </w:pPr>
      <w:r w:rsidRPr="00940AD5">
        <w:rPr>
          <w:rFonts w:ascii="Arial" w:hAnsi="Arial" w:cs="Arial"/>
          <w:b/>
          <w:sz w:val="20"/>
          <w:szCs w:val="20"/>
          <w:u w:val="single"/>
        </w:rPr>
        <w:t>Biomedical Research</w:t>
      </w:r>
      <w:r w:rsidRPr="00940AD5">
        <w:rPr>
          <w:rFonts w:ascii="Arial" w:hAnsi="Arial" w:cs="Arial"/>
          <w:sz w:val="20"/>
          <w:szCs w:val="20"/>
        </w:rPr>
        <w:t>: select for studies that need Expedited or Fullboard review and are medical in nature (involve clinical procedures, biomedical research design, biospecimens, etc.).</w:t>
      </w:r>
    </w:p>
    <w:p w:rsidR="00AA2C89" w:rsidRPr="00940AD5" w:rsidRDefault="00AA2C89" w:rsidP="00AA2C89">
      <w:pPr>
        <w:ind w:left="1080"/>
        <w:rPr>
          <w:rFonts w:ascii="Arial" w:hAnsi="Arial" w:cs="Arial"/>
          <w:sz w:val="20"/>
          <w:szCs w:val="20"/>
        </w:rPr>
      </w:pPr>
    </w:p>
    <w:p w:rsidR="00AA2C89" w:rsidRPr="00940AD5" w:rsidRDefault="00AA2C89" w:rsidP="00AA2C89">
      <w:pPr>
        <w:numPr>
          <w:ilvl w:val="0"/>
          <w:numId w:val="6"/>
        </w:numPr>
        <w:rPr>
          <w:rFonts w:ascii="Arial" w:hAnsi="Arial" w:cs="Arial"/>
          <w:sz w:val="20"/>
          <w:szCs w:val="20"/>
        </w:rPr>
      </w:pPr>
      <w:r w:rsidRPr="00940AD5">
        <w:rPr>
          <w:rFonts w:ascii="Arial" w:hAnsi="Arial" w:cs="Arial"/>
          <w:b/>
          <w:sz w:val="20"/>
          <w:szCs w:val="20"/>
          <w:u w:val="single"/>
        </w:rPr>
        <w:t>Biomedical Research- Exempt</w:t>
      </w:r>
      <w:r w:rsidRPr="00940AD5">
        <w:rPr>
          <w:rFonts w:ascii="Arial" w:hAnsi="Arial" w:cs="Arial"/>
          <w:sz w:val="20"/>
          <w:szCs w:val="20"/>
        </w:rPr>
        <w:t>: select for studies that qualify for Exempt review and are medical in nature, such as retrospective medical chart reviews.</w:t>
      </w:r>
    </w:p>
    <w:p w:rsidR="00AA2C89" w:rsidRPr="00940AD5" w:rsidRDefault="00AA2C89" w:rsidP="00AA2C89">
      <w:pPr>
        <w:pStyle w:val="ListParagraph"/>
        <w:rPr>
          <w:rFonts w:ascii="Arial" w:hAnsi="Arial" w:cs="Arial"/>
          <w:sz w:val="20"/>
          <w:szCs w:val="20"/>
        </w:rPr>
      </w:pPr>
    </w:p>
    <w:p w:rsidR="00AA2C89" w:rsidRPr="00940AD5" w:rsidRDefault="00AA2C89" w:rsidP="00AA2C89">
      <w:pPr>
        <w:numPr>
          <w:ilvl w:val="0"/>
          <w:numId w:val="6"/>
        </w:numPr>
        <w:rPr>
          <w:rFonts w:ascii="Arial" w:hAnsi="Arial" w:cs="Arial"/>
          <w:sz w:val="20"/>
          <w:szCs w:val="20"/>
        </w:rPr>
      </w:pPr>
      <w:r w:rsidRPr="00940AD5">
        <w:rPr>
          <w:rFonts w:ascii="Arial" w:hAnsi="Arial" w:cs="Arial"/>
          <w:b/>
          <w:sz w:val="20"/>
          <w:szCs w:val="20"/>
          <w:u w:val="single"/>
        </w:rPr>
        <w:t>Social, Behavioral &amp; Educational Research</w:t>
      </w:r>
      <w:r w:rsidRPr="00940AD5">
        <w:rPr>
          <w:rFonts w:ascii="Arial" w:hAnsi="Arial" w:cs="Arial"/>
          <w:sz w:val="20"/>
          <w:szCs w:val="20"/>
        </w:rPr>
        <w:t xml:space="preserve">: select for studies that </w:t>
      </w:r>
      <w:r w:rsidR="00E4706E">
        <w:rPr>
          <w:rFonts w:ascii="Arial" w:hAnsi="Arial" w:cs="Arial"/>
          <w:sz w:val="20"/>
          <w:szCs w:val="20"/>
        </w:rPr>
        <w:t>need Expedited or Fullboard</w:t>
      </w:r>
      <w:r w:rsidRPr="00940AD5">
        <w:rPr>
          <w:rFonts w:ascii="Arial" w:hAnsi="Arial" w:cs="Arial"/>
          <w:sz w:val="20"/>
          <w:szCs w:val="20"/>
        </w:rPr>
        <w:t xml:space="preserve"> review and are not medical in nature, such as research involving surveys or interviews.</w:t>
      </w:r>
    </w:p>
    <w:p w:rsidR="00AA2C89" w:rsidRPr="00940AD5" w:rsidRDefault="00AA2C89" w:rsidP="00AA2C89">
      <w:pPr>
        <w:pStyle w:val="ListParagraph"/>
        <w:rPr>
          <w:rFonts w:ascii="Arial" w:hAnsi="Arial" w:cs="Arial"/>
          <w:sz w:val="20"/>
          <w:szCs w:val="20"/>
        </w:rPr>
      </w:pPr>
    </w:p>
    <w:p w:rsidR="00AA2C89" w:rsidRPr="00940AD5" w:rsidRDefault="00AA2C89" w:rsidP="00AA2C89">
      <w:pPr>
        <w:numPr>
          <w:ilvl w:val="0"/>
          <w:numId w:val="6"/>
        </w:numPr>
        <w:rPr>
          <w:rFonts w:ascii="Arial" w:hAnsi="Arial" w:cs="Arial"/>
          <w:sz w:val="20"/>
          <w:szCs w:val="20"/>
        </w:rPr>
      </w:pPr>
      <w:r w:rsidRPr="00940AD5">
        <w:rPr>
          <w:rFonts w:ascii="Arial" w:hAnsi="Arial" w:cs="Arial"/>
          <w:b/>
          <w:sz w:val="20"/>
          <w:szCs w:val="20"/>
          <w:u w:val="single"/>
        </w:rPr>
        <w:t>Social, Behavioral &amp; Educational Research- Exempt</w:t>
      </w:r>
      <w:r w:rsidRPr="00940AD5">
        <w:rPr>
          <w:rFonts w:ascii="Arial" w:hAnsi="Arial" w:cs="Arial"/>
          <w:sz w:val="20"/>
          <w:szCs w:val="20"/>
        </w:rPr>
        <w:t>: select for studies that qualify for Exempt review and are not medical in nature, such as research involving surveys or interviews.</w:t>
      </w:r>
    </w:p>
    <w:p w:rsidR="00AA2C89" w:rsidRDefault="00AA2C89" w:rsidP="00AA2C89">
      <w:pPr>
        <w:pStyle w:val="ListParagraph"/>
        <w:rPr>
          <w:rFonts w:ascii="Arial" w:hAnsi="Arial" w:cs="Arial"/>
          <w:sz w:val="20"/>
          <w:szCs w:val="20"/>
        </w:rPr>
      </w:pPr>
    </w:p>
    <w:p w:rsidR="00AA2C89" w:rsidRPr="00940AD5" w:rsidRDefault="00AA2C89" w:rsidP="00AA2C89">
      <w:pPr>
        <w:pStyle w:val="ListParagraph"/>
        <w:rPr>
          <w:rFonts w:ascii="Arial" w:hAnsi="Arial" w:cs="Arial"/>
          <w:sz w:val="20"/>
          <w:szCs w:val="20"/>
        </w:rPr>
      </w:pPr>
    </w:p>
    <w:p w:rsidR="00AA2C89" w:rsidRDefault="00AA2C89" w:rsidP="00AA2C89">
      <w:pPr>
        <w:rPr>
          <w:rFonts w:ascii="Arial" w:hAnsi="Arial" w:cs="Arial"/>
        </w:rPr>
      </w:pPr>
      <w:r>
        <w:rPr>
          <w:rFonts w:ascii="Arial" w:hAnsi="Arial" w:cs="Arial"/>
          <w:sz w:val="20"/>
        </w:rPr>
        <w:t xml:space="preserve">**Every investigator on a study must complete Human Subjects training.  Please see the </w:t>
      </w:r>
      <w:hyperlink r:id="rId10" w:history="1">
        <w:r w:rsidRPr="00DC3DF6">
          <w:rPr>
            <w:rStyle w:val="Hyperlink"/>
            <w:rFonts w:ascii="Arial" w:hAnsi="Arial" w:cs="Arial"/>
            <w:sz w:val="20"/>
          </w:rPr>
          <w:t>IRB website</w:t>
        </w:r>
      </w:hyperlink>
      <w:r>
        <w:rPr>
          <w:rFonts w:ascii="Arial" w:hAnsi="Arial" w:cs="Arial"/>
          <w:sz w:val="20"/>
        </w:rPr>
        <w:t xml:space="preserve"> for instructions on completing training.</w:t>
      </w:r>
    </w:p>
    <w:p w:rsidR="003D183A" w:rsidRDefault="003D183A"/>
    <w:sectPr w:rsidR="003D183A" w:rsidSect="00796FF9">
      <w:footerReference w:type="even" r:id="rId11"/>
      <w:foot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778" w:rsidRDefault="00EA4778">
      <w:r>
        <w:separator/>
      </w:r>
    </w:p>
  </w:endnote>
  <w:endnote w:type="continuationSeparator" w:id="0">
    <w:p w:rsidR="00EA4778" w:rsidRDefault="00EA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C9" w:rsidRDefault="00F15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FC9" w:rsidRDefault="00F15F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C9" w:rsidRDefault="00F15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6543">
      <w:rPr>
        <w:rStyle w:val="PageNumber"/>
        <w:noProof/>
      </w:rPr>
      <w:t>7</w:t>
    </w:r>
    <w:r>
      <w:rPr>
        <w:rStyle w:val="PageNumber"/>
      </w:rPr>
      <w:fldChar w:fldCharType="end"/>
    </w:r>
  </w:p>
  <w:p w:rsidR="00F15FC9" w:rsidRDefault="00F15FC9">
    <w:pPr>
      <w:pStyle w:val="Footer"/>
      <w:ind w:right="360"/>
    </w:pPr>
    <w:r w:rsidRPr="00076B01">
      <w:rPr>
        <w:sz w:val="20"/>
        <w:szCs w:val="20"/>
      </w:rPr>
      <w:t xml:space="preserve">Version Date: </w:t>
    </w:r>
    <w:r>
      <w:rPr>
        <w:sz w:val="20"/>
        <w:szCs w:val="20"/>
      </w:rPr>
      <w:t>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778" w:rsidRDefault="00EA4778">
      <w:r>
        <w:separator/>
      </w:r>
    </w:p>
  </w:footnote>
  <w:footnote w:type="continuationSeparator" w:id="0">
    <w:p w:rsidR="00EA4778" w:rsidRDefault="00EA4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7F8"/>
    <w:multiLevelType w:val="hybridMultilevel"/>
    <w:tmpl w:val="C6740A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EC96FC4"/>
    <w:multiLevelType w:val="hybridMultilevel"/>
    <w:tmpl w:val="CFD221BC"/>
    <w:lvl w:ilvl="0" w:tplc="6EF4080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7DFA881A">
      <w:start w:val="1"/>
      <w:numFmt w:val="lowerLetter"/>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68F27DD2">
      <w:start w:val="2"/>
      <w:numFmt w:val="bullet"/>
      <w:lvlText w:val=""/>
      <w:lvlJc w:val="left"/>
      <w:pPr>
        <w:tabs>
          <w:tab w:val="num" w:pos="3960"/>
        </w:tabs>
        <w:ind w:left="3960" w:hanging="360"/>
      </w:pPr>
      <w:rPr>
        <w:rFonts w:ascii="Wingdings" w:eastAsia="Times New Roman" w:hAnsi="Wingdings" w:cs="Times New Roman" w:hint="default"/>
      </w:rPr>
    </w:lvl>
    <w:lvl w:ilvl="5" w:tplc="735C1294">
      <w:start w:val="1"/>
      <w:numFmt w:val="lowerRoman"/>
      <w:lvlText w:val="(%6)"/>
      <w:lvlJc w:val="left"/>
      <w:pPr>
        <w:ind w:left="5220" w:hanging="72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A53F68"/>
    <w:multiLevelType w:val="hybridMultilevel"/>
    <w:tmpl w:val="F6A6D05A"/>
    <w:lvl w:ilvl="0" w:tplc="969A1D7C">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9C0F8F"/>
    <w:multiLevelType w:val="hybridMultilevel"/>
    <w:tmpl w:val="686C75A4"/>
    <w:lvl w:ilvl="0" w:tplc="CA12B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370AF"/>
    <w:multiLevelType w:val="hybridMultilevel"/>
    <w:tmpl w:val="7F8244C4"/>
    <w:lvl w:ilvl="0" w:tplc="11568CA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15076"/>
    <w:multiLevelType w:val="hybridMultilevel"/>
    <w:tmpl w:val="76FE5638"/>
    <w:lvl w:ilvl="0" w:tplc="5D20E9BC">
      <w:start w:val="1"/>
      <w:numFmt w:val="lowerRoman"/>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55AEE"/>
    <w:multiLevelType w:val="hybridMultilevel"/>
    <w:tmpl w:val="6EE0E040"/>
    <w:lvl w:ilvl="0" w:tplc="735C1294">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A57002F"/>
    <w:multiLevelType w:val="hybridMultilevel"/>
    <w:tmpl w:val="9034B700"/>
    <w:lvl w:ilvl="0" w:tplc="6EF4080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68F27DD2">
      <w:start w:val="2"/>
      <w:numFmt w:val="bullet"/>
      <w:lvlText w:val=""/>
      <w:lvlJc w:val="left"/>
      <w:pPr>
        <w:tabs>
          <w:tab w:val="num" w:pos="3960"/>
        </w:tabs>
        <w:ind w:left="3960" w:hanging="360"/>
      </w:pPr>
      <w:rPr>
        <w:rFonts w:ascii="Wingdings" w:eastAsia="Times New Roman" w:hAnsi="Wingdings" w:cs="Times New Roman" w:hint="default"/>
      </w:rPr>
    </w:lvl>
    <w:lvl w:ilvl="5" w:tplc="735C1294">
      <w:start w:val="1"/>
      <w:numFmt w:val="lowerRoman"/>
      <w:lvlText w:val="(%6)"/>
      <w:lvlJc w:val="left"/>
      <w:pPr>
        <w:ind w:left="5220" w:hanging="72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964CCB"/>
    <w:multiLevelType w:val="hybridMultilevel"/>
    <w:tmpl w:val="7B2E06DE"/>
    <w:lvl w:ilvl="0" w:tplc="D3FAC5F2">
      <w:start w:val="1"/>
      <w:numFmt w:val="upperLetter"/>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CAB26CA"/>
    <w:multiLevelType w:val="hybridMultilevel"/>
    <w:tmpl w:val="B50E7D58"/>
    <w:lvl w:ilvl="0" w:tplc="5D20E9BC">
      <w:start w:val="1"/>
      <w:numFmt w:val="lowerRoman"/>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E0D05"/>
    <w:multiLevelType w:val="hybridMultilevel"/>
    <w:tmpl w:val="CC58DF7E"/>
    <w:lvl w:ilvl="0" w:tplc="6EF4080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DFA881A">
      <w:start w:val="1"/>
      <w:numFmt w:val="lowerLetter"/>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68F27DD2">
      <w:start w:val="2"/>
      <w:numFmt w:val="bullet"/>
      <w:lvlText w:val=""/>
      <w:lvlJc w:val="left"/>
      <w:pPr>
        <w:tabs>
          <w:tab w:val="num" w:pos="3960"/>
        </w:tabs>
        <w:ind w:left="3960" w:hanging="360"/>
      </w:pPr>
      <w:rPr>
        <w:rFonts w:ascii="Wingdings" w:eastAsia="Times New Roman" w:hAnsi="Wingdings"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E3A4EF9"/>
    <w:multiLevelType w:val="hybridMultilevel"/>
    <w:tmpl w:val="5612466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CE4992"/>
    <w:multiLevelType w:val="hybridMultilevel"/>
    <w:tmpl w:val="64300D9A"/>
    <w:lvl w:ilvl="0" w:tplc="6EF4080A">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735C1294">
      <w:start w:val="1"/>
      <w:numFmt w:val="lowerRoman"/>
      <w:lvlText w:val="(%3)"/>
      <w:lvlJc w:val="left"/>
      <w:pPr>
        <w:tabs>
          <w:tab w:val="num" w:pos="2700"/>
        </w:tabs>
        <w:ind w:left="2700" w:hanging="36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68F27DD2">
      <w:start w:val="2"/>
      <w:numFmt w:val="bullet"/>
      <w:lvlText w:val=""/>
      <w:lvlJc w:val="left"/>
      <w:pPr>
        <w:tabs>
          <w:tab w:val="num" w:pos="3960"/>
        </w:tabs>
        <w:ind w:left="3960" w:hanging="360"/>
      </w:pPr>
      <w:rPr>
        <w:rFonts w:ascii="Wingdings" w:eastAsia="Times New Roman" w:hAnsi="Wingdings" w:cs="Times New Roman" w:hint="default"/>
      </w:rPr>
    </w:lvl>
    <w:lvl w:ilvl="5" w:tplc="735C1294">
      <w:start w:val="1"/>
      <w:numFmt w:val="lowerRoman"/>
      <w:lvlText w:val="(%6)"/>
      <w:lvlJc w:val="left"/>
      <w:pPr>
        <w:ind w:left="5220" w:hanging="72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A23A0B"/>
    <w:multiLevelType w:val="hybridMultilevel"/>
    <w:tmpl w:val="FF88C1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13"/>
  </w:num>
  <w:num w:numId="4">
    <w:abstractNumId w:val="4"/>
  </w:num>
  <w:num w:numId="5">
    <w:abstractNumId w:val="1"/>
  </w:num>
  <w:num w:numId="6">
    <w:abstractNumId w:val="3"/>
  </w:num>
  <w:num w:numId="7">
    <w:abstractNumId w:val="7"/>
  </w:num>
  <w:num w:numId="8">
    <w:abstractNumId w:val="2"/>
  </w:num>
  <w:num w:numId="9">
    <w:abstractNumId w:val="8"/>
  </w:num>
  <w:num w:numId="10">
    <w:abstractNumId w:val="6"/>
  </w:num>
  <w:num w:numId="11">
    <w:abstractNumId w:val="12"/>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89"/>
    <w:rsid w:val="000E2432"/>
    <w:rsid w:val="001E37F2"/>
    <w:rsid w:val="00236543"/>
    <w:rsid w:val="0024756E"/>
    <w:rsid w:val="00322E1C"/>
    <w:rsid w:val="003D183A"/>
    <w:rsid w:val="003D54AF"/>
    <w:rsid w:val="004C3E27"/>
    <w:rsid w:val="005B50C3"/>
    <w:rsid w:val="005F49A3"/>
    <w:rsid w:val="00603C8B"/>
    <w:rsid w:val="00674636"/>
    <w:rsid w:val="00686523"/>
    <w:rsid w:val="006C02DE"/>
    <w:rsid w:val="006C42EB"/>
    <w:rsid w:val="00796FF9"/>
    <w:rsid w:val="007D1F0B"/>
    <w:rsid w:val="008B479D"/>
    <w:rsid w:val="009554E6"/>
    <w:rsid w:val="009A2828"/>
    <w:rsid w:val="009C18A3"/>
    <w:rsid w:val="00A01CF6"/>
    <w:rsid w:val="00AA2C89"/>
    <w:rsid w:val="00AC4B97"/>
    <w:rsid w:val="00B50DC1"/>
    <w:rsid w:val="00B54498"/>
    <w:rsid w:val="00C0588A"/>
    <w:rsid w:val="00C145BB"/>
    <w:rsid w:val="00D01623"/>
    <w:rsid w:val="00D85E6A"/>
    <w:rsid w:val="00DA64AA"/>
    <w:rsid w:val="00E4706E"/>
    <w:rsid w:val="00E70EB8"/>
    <w:rsid w:val="00EA4778"/>
    <w:rsid w:val="00F15FC9"/>
    <w:rsid w:val="00F768C6"/>
    <w:rsid w:val="00FB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A21DD-F05F-403B-8DDF-8DFCF9C8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2C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2C89"/>
    <w:pPr>
      <w:jc w:val="center"/>
    </w:pPr>
    <w:rPr>
      <w:sz w:val="28"/>
    </w:rPr>
  </w:style>
  <w:style w:type="character" w:customStyle="1" w:styleId="TitleChar">
    <w:name w:val="Title Char"/>
    <w:basedOn w:val="DefaultParagraphFont"/>
    <w:link w:val="Title"/>
    <w:rsid w:val="00AA2C89"/>
    <w:rPr>
      <w:rFonts w:ascii="Times New Roman" w:eastAsia="Times New Roman" w:hAnsi="Times New Roman" w:cs="Times New Roman"/>
      <w:sz w:val="28"/>
      <w:szCs w:val="24"/>
    </w:rPr>
  </w:style>
  <w:style w:type="character" w:styleId="Hyperlink">
    <w:name w:val="Hyperlink"/>
    <w:rsid w:val="00AA2C89"/>
    <w:rPr>
      <w:color w:val="0000FF"/>
      <w:u w:val="single"/>
    </w:rPr>
  </w:style>
  <w:style w:type="paragraph" w:styleId="Footer">
    <w:name w:val="footer"/>
    <w:basedOn w:val="Normal"/>
    <w:link w:val="FooterChar"/>
    <w:rsid w:val="00AA2C89"/>
    <w:pPr>
      <w:tabs>
        <w:tab w:val="center" w:pos="4320"/>
        <w:tab w:val="right" w:pos="8640"/>
      </w:tabs>
    </w:pPr>
  </w:style>
  <w:style w:type="character" w:customStyle="1" w:styleId="FooterChar">
    <w:name w:val="Footer Char"/>
    <w:basedOn w:val="DefaultParagraphFont"/>
    <w:link w:val="Footer"/>
    <w:rsid w:val="00AA2C89"/>
    <w:rPr>
      <w:rFonts w:ascii="Times New Roman" w:eastAsia="Times New Roman" w:hAnsi="Times New Roman" w:cs="Times New Roman"/>
      <w:sz w:val="24"/>
      <w:szCs w:val="24"/>
    </w:rPr>
  </w:style>
  <w:style w:type="character" w:styleId="PageNumber">
    <w:name w:val="page number"/>
    <w:basedOn w:val="DefaultParagraphFont"/>
    <w:rsid w:val="00AA2C89"/>
  </w:style>
  <w:style w:type="paragraph" w:styleId="BodyText2">
    <w:name w:val="Body Text 2"/>
    <w:basedOn w:val="Normal"/>
    <w:link w:val="BodyText2Char"/>
    <w:rsid w:val="00AA2C89"/>
    <w:rPr>
      <w:sz w:val="20"/>
    </w:rPr>
  </w:style>
  <w:style w:type="character" w:customStyle="1" w:styleId="BodyText2Char">
    <w:name w:val="Body Text 2 Char"/>
    <w:basedOn w:val="DefaultParagraphFont"/>
    <w:link w:val="BodyText2"/>
    <w:rsid w:val="00AA2C89"/>
    <w:rPr>
      <w:rFonts w:ascii="Times New Roman" w:eastAsia="Times New Roman" w:hAnsi="Times New Roman" w:cs="Times New Roman"/>
      <w:sz w:val="20"/>
      <w:szCs w:val="24"/>
    </w:rPr>
  </w:style>
  <w:style w:type="paragraph" w:styleId="NormalWeb">
    <w:name w:val="Normal (Web)"/>
    <w:basedOn w:val="Normal"/>
    <w:uiPriority w:val="99"/>
    <w:rsid w:val="00AA2C89"/>
    <w:pPr>
      <w:spacing w:before="100" w:beforeAutospacing="1" w:after="100" w:afterAutospacing="1"/>
    </w:pPr>
    <w:rPr>
      <w:rFonts w:ascii="Arial" w:eastAsia="Arial Unicode MS" w:hAnsi="Arial" w:cs="Arial"/>
      <w:color w:val="000000"/>
      <w:sz w:val="22"/>
      <w:szCs w:val="22"/>
    </w:rPr>
  </w:style>
  <w:style w:type="character" w:customStyle="1" w:styleId="apple-converted-space">
    <w:name w:val="apple-converted-space"/>
    <w:rsid w:val="00AA2C89"/>
  </w:style>
  <w:style w:type="character" w:styleId="CommentReference">
    <w:name w:val="annotation reference"/>
    <w:rsid w:val="00AA2C89"/>
    <w:rPr>
      <w:sz w:val="16"/>
      <w:szCs w:val="16"/>
    </w:rPr>
  </w:style>
  <w:style w:type="paragraph" w:styleId="CommentText">
    <w:name w:val="annotation text"/>
    <w:basedOn w:val="Normal"/>
    <w:link w:val="CommentTextChar"/>
    <w:rsid w:val="00AA2C89"/>
    <w:rPr>
      <w:sz w:val="20"/>
      <w:szCs w:val="20"/>
    </w:rPr>
  </w:style>
  <w:style w:type="character" w:customStyle="1" w:styleId="CommentTextChar">
    <w:name w:val="Comment Text Char"/>
    <w:basedOn w:val="DefaultParagraphFont"/>
    <w:link w:val="CommentText"/>
    <w:rsid w:val="00AA2C89"/>
    <w:rPr>
      <w:rFonts w:ascii="Times New Roman" w:eastAsia="Times New Roman" w:hAnsi="Times New Roman" w:cs="Times New Roman"/>
      <w:sz w:val="20"/>
      <w:szCs w:val="20"/>
    </w:rPr>
  </w:style>
  <w:style w:type="paragraph" w:styleId="ListParagraph">
    <w:name w:val="List Paragraph"/>
    <w:basedOn w:val="Normal"/>
    <w:uiPriority w:val="34"/>
    <w:qFormat/>
    <w:rsid w:val="00AA2C89"/>
    <w:pPr>
      <w:ind w:left="720"/>
    </w:pPr>
  </w:style>
  <w:style w:type="paragraph" w:styleId="BalloonText">
    <w:name w:val="Balloon Text"/>
    <w:basedOn w:val="Normal"/>
    <w:link w:val="BalloonTextChar"/>
    <w:uiPriority w:val="99"/>
    <w:semiHidden/>
    <w:unhideWhenUsed/>
    <w:rsid w:val="00AA2C89"/>
    <w:rPr>
      <w:rFonts w:ascii="Tahoma" w:hAnsi="Tahoma" w:cs="Tahoma"/>
      <w:sz w:val="16"/>
      <w:szCs w:val="16"/>
    </w:rPr>
  </w:style>
  <w:style w:type="character" w:customStyle="1" w:styleId="BalloonTextChar">
    <w:name w:val="Balloon Text Char"/>
    <w:basedOn w:val="DefaultParagraphFont"/>
    <w:link w:val="BalloonText"/>
    <w:uiPriority w:val="99"/>
    <w:semiHidden/>
    <w:rsid w:val="00AA2C89"/>
    <w:rPr>
      <w:rFonts w:ascii="Tahoma" w:eastAsia="Times New Roman" w:hAnsi="Tahoma" w:cs="Tahoma"/>
      <w:sz w:val="16"/>
      <w:szCs w:val="16"/>
    </w:rPr>
  </w:style>
  <w:style w:type="paragraph" w:styleId="Header">
    <w:name w:val="header"/>
    <w:basedOn w:val="Normal"/>
    <w:link w:val="HeaderChar"/>
    <w:uiPriority w:val="99"/>
    <w:unhideWhenUsed/>
    <w:rsid w:val="00E4706E"/>
    <w:pPr>
      <w:tabs>
        <w:tab w:val="center" w:pos="4680"/>
        <w:tab w:val="right" w:pos="9360"/>
      </w:tabs>
    </w:pPr>
  </w:style>
  <w:style w:type="character" w:customStyle="1" w:styleId="HeaderChar">
    <w:name w:val="Header Char"/>
    <w:basedOn w:val="DefaultParagraphFont"/>
    <w:link w:val="Header"/>
    <w:uiPriority w:val="99"/>
    <w:rsid w:val="00E4706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145BB"/>
    <w:rPr>
      <w:b/>
      <w:bCs/>
    </w:rPr>
  </w:style>
  <w:style w:type="character" w:customStyle="1" w:styleId="CommentSubjectChar">
    <w:name w:val="Comment Subject Char"/>
    <w:basedOn w:val="CommentTextChar"/>
    <w:link w:val="CommentSubject"/>
    <w:uiPriority w:val="99"/>
    <w:semiHidden/>
    <w:rsid w:val="00C145B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96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rb.sl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u.edu/research/faculty-resources/research-integrity-safety/institutional-review-board-irb/irb_assets/hsr_determination_form.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lu.edu/research/faculty-resources/research-integrity-safety/institutional-review-board-irb/irb-process/submit-irb-application.php" TargetMode="External"/><Relationship Id="rId4" Type="http://schemas.openxmlformats.org/officeDocument/2006/relationships/webSettings" Target="webSettings.xml"/><Relationship Id="rId9" Type="http://schemas.openxmlformats.org/officeDocument/2006/relationships/hyperlink" Target="https://www.slu.edu/research/faculty-resources/research-integrity-safety/institutional-review-board-irb/irb_assets/meeting_dates_deadlin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 Millinger</dc:creator>
  <cp:lastModifiedBy>Maureen Bresnahan</cp:lastModifiedBy>
  <cp:revision>2</cp:revision>
  <cp:lastPrinted>2019-01-18T17:21:00Z</cp:lastPrinted>
  <dcterms:created xsi:type="dcterms:W3CDTF">2019-01-22T19:00:00Z</dcterms:created>
  <dcterms:modified xsi:type="dcterms:W3CDTF">2019-01-22T19:00:00Z</dcterms:modified>
</cp:coreProperties>
</file>